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https://www.autoritedelaconcurrence.fr/fr/decision-de-controle-des-concentrations/relative-la-prise-de-controle-exclusif-de-certaines-4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25-DCC-217 of September 24, 2025</w:t>
        <w:br/>
        <w:t>regarding the exclusive control acquisition of certain insurance activities</w:t>
        <w:br/>
        <w:t>of the company Abeille IARD &amp; Santé by the Allianz group</w:t>
        <w:br/>
        <w:t>The Competition Authority,</w:t>
        <w:br/>
        <w:t>Having regard to the complete notification file sent to the mergers department on August 29, 2025,</w:t>
        <w:br/>
        <w:t>concerning the exclusive control acquisition of certain insurance activities of the company Abeille</w:t>
        <w:br/>
        <w:t>IARD &amp; Santé by the Allianz group, formalized by a memorandum of understanding dated June 18, 2025;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acquisition by the company Allianz Direct Versicherungs-AG,</w:t>
        <w:br/>
        <w:t>which is itself exclusively controlled by the company Allianz SE, at the head of the Allianz group, of</w:t>
        <w:br/>
        <w:t>the insurance activities distributed under the Eurofil brand of the company Abeille IARD &amp; Santé,</w:t>
        <w:br/>
        <w:t>which is active in the fields of property insurance and assistance. Given the revenues generated by the</w:t>
        <w:br/>
        <w:t>concerned companies, the operation does not fall under the jurisdiction of the European Union. On the</w:t>
        <w:br/>
        <w:t>other hand, the control thresholds mentioned in I of Article L. 430-2 of the Commercial Code are exceeded.</w:t>
        <w:br/>
        <w:t>This operation is therefore subject to the provisions of Articles L. 430-3 and following of the Commercial</w:t>
        <w:br/>
        <w:t>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25-184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