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https://www.autoritedelaconcurrence.fr/fr/decision-de-controle-des-concentrations/relative-la-prise-de-controle-exclusif-de-certaines-entites</w:t>
      </w:r>
    </w:p>
    <w:p>
      <w:r>
        <w:t>Pages translated : 2</w:t>
      </w:r>
    </w:p>
    <w:p/>
    <w:p>
      <w:r>
        <w:rPr>
          <w:b/>
        </w:rPr>
        <w:t>[Pages 1–2]</w:t>
      </w:r>
    </w:p>
    <w:p>
      <w:r>
        <w:t xml:space="preserve">FRENCH REPUBLIC  </w:t>
        <w:br/>
        <w:t xml:space="preserve">Decision No. 19-DCC-177 of September 20, 2019  </w:t>
        <w:br/>
        <w:t xml:space="preserve">regarding the exclusive control acquisition of certain entities of the Staples group by the company Raja  </w:t>
        <w:br/>
        <w:t xml:space="preserve">The Competition Authority,  </w:t>
        <w:br/>
        <w:t xml:space="preserve">Having regard to the complete notification file submitted to the mergers department on August 26, 2019, concerning the exclusive control acquisition of the companies Staples France Holding, Staples France – JPG SAS, Mondoffice S.R.L, Bernard France SAS, Staples Productos De Oficina SL by the company Raja, formalized by a unilateral purchase promise dated August 2,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Raja of the companies Staples France Holding, Staples France – JPG SAS, Mondoffice S.R.L, Bernard France SAS, Staples Productos De Oficina SL.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supply and distribution of packaging, equipment, and office supplies.  </w:t>
        <w:br/>
        <w:t xml:space="preserve">3. Regardless of the segmentations retained, the cumulative market shares of the parties are below 25% when they overlap in the same market and below 30% when their activities are located in upstream, downstream, or related markets.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19-215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