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https://www.autoritedelaconcurrence.fr/fr/decision-de-controle-des-concentrations/relative-la-prise-de-controle-exclusif-de-certains-10</w:t>
      </w:r>
    </w:p>
    <w:p>
      <w:r>
        <w:t>Pages translated : 2</w:t>
      </w:r>
    </w:p>
    <w:p/>
    <w:p>
      <w:r>
        <w:rPr>
          <w:b/>
        </w:rPr>
        <w:t>[Pages 1–2]</w:t>
      </w:r>
    </w:p>
    <w:p>
      <w:r>
        <w:t xml:space="preserve">FRENCH REPUBLIC  </w:t>
        <w:br/>
        <w:t xml:space="preserve">Decision No. 21-DCC-182 of October 20, 2021  </w:t>
        <w:br/>
        <w:t xml:space="preserve">regarding the exclusive control acquisition of certain assets of SMACL Assurances by the MAIF group  </w:t>
        <w:br/>
        <w:t xml:space="preserve">The Competition Authority,  </w:t>
        <w:br/>
        <w:t xml:space="preserve">Having regard to the complete notification file submitted to the mergers department on September 28, 2021, concerning the acquisition of control of certain assets of SMACL Assurances by the MAIF group, formalized by a memorandum of understanding dated July 29,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MAIF group, through the company MAIF Société Êta, of certain assets belonging to the company SMACL Assurances, which notably includes a portfolio of insurance contracts. The operation concerns the markets in the insurance sector. It constitutes a concentration operation within the meaning of Article L. 430-1 of the Commercial Code. Given the revenues generated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21-173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