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https://www.autoritedelaconcurrence.fr/fr/decision-de-controle-des-concentrations/relative-la-prise-de-controle-exclusif-de-certains-11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24-DCC-110 of May 23, 2024  </w:t>
        <w:br/>
        <w:t xml:space="preserve">regarding the exclusive control acquisition of certain assets of the company  </w:t>
        <w:br/>
        <w:t xml:space="preserve">VMware by the company KKR &amp; Co  </w:t>
        <w:br/>
        <w:t xml:space="preserve">The Competition Authority,  </w:t>
        <w:br/>
        <w:t xml:space="preserve">Having regard to the complete notification file sent to the mergers department on May 3, 2024, concerning  </w:t>
        <w:br/>
        <w:t xml:space="preserve">the exclusive control acquisition of certain assets of the company VMware by the company KKR and  </w:t>
        <w:br/>
        <w:t xml:space="preserve">Co, via the company Modena Intermediate, and formalized by a sale and purchase agreement dated  </w:t>
        <w:br/>
        <w:t xml:space="preserve">February 23,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KKR and Co, via the  </w:t>
        <w:br/>
        <w:t xml:space="preserve">company Modena Intermediate, of the end-user computing division of the company  </w:t>
        <w:br/>
        <w:t xml:space="preserve">VMware, active in the information technology services sector. It constitutes a concentration operation within the meaning of Article L. 430-1 of the Commercial Code. Given the turnover achieved by the concerned companies, the operation does not fall under the jurisdiction of  </w:t>
        <w:br/>
        <w:t xml:space="preserve">the European Union. On the other hand, the control thresholds mentioned in point 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24-075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