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https://www.autoritedelaconcurrence.fr/fr/decision-de-controle-des-concentrations/relative-la-prise-de-controle-exclusif-de-certains-12</w:t>
      </w:r>
    </w:p>
    <w:p>
      <w:r>
        <w:t>Pages translated : 2</w:t>
      </w:r>
    </w:p>
    <w:p/>
    <w:p>
      <w:r>
        <w:rPr>
          <w:b/>
        </w:rPr>
        <w:t>[Pages 1–2]</w:t>
      </w:r>
    </w:p>
    <w:p>
      <w:r>
        <w:t xml:space="preserve">FRENCH REPUBLIC  </w:t>
        <w:br/>
        <w:t xml:space="preserve">Decision No. 25-DCC-82 of April 23, 2025  </w:t>
        <w:br/>
        <w:t xml:space="preserve">regarding the exclusive control acquisition of certain assets of the Tak group  </w:t>
        <w:br/>
        <w:t xml:space="preserve">by the company Sainte Claire France  </w:t>
        <w:br/>
        <w:t xml:space="preserve">The Competition Authority,  </w:t>
        <w:br/>
        <w:t xml:space="preserve">Having regard to the complete notification file sent to the mergers department on March 31, 2025,  </w:t>
        <w:br/>
        <w:t xml:space="preserve">concerning the exclusive control acquisition of certain assets of the Tak group by the company Sainte Claire France, formalized by a memorandum of understanding signed on March 11, 2025;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the company Sainte Claire, of several assets of the Tak group. The acquisition concerns, on the one hand, all the shares and voting rights of the Société d’Exploitation des Magasins Cardamone, which operates a retail business predominantly in food with a surface area of 1,698 m², under the brand "Intermark" in Saint-Pierre (974), as well as all the shares and voting rights of the Société d’Exploitation des Magasins d’Ugo, which operated, until December 2024, a supermarket of 1,959 m², under the brand "Intermark", in the same municipality. On the other hand, the acquisition concerns the exclusive control of the retail businesses predominantly in food under the brand "Intermark", operated by the Société Saint-Gilloise d’Exploitation de Supermarchés, the Société Exploitation Galeries Françaises, and the company Ah Tak, which each operate a supermarket in Saint-Paul (974), Saint-Denis (974), and Saint-Joseph (974), with respective surface areas of 1,200 m², 1,500 m², and 1,500 m². This operation constitutes a concentration within the meaning of Article L. 430-1 of the Commercial Code. Given the turnover achieved by the companies concerned,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25-082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