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https://www.autoritedelaconcurrence.fr/fr/decision-de-controle-des-concentrations/relative-la-prise-de-controle-exclusif-de-certains-13</w:t>
      </w:r>
    </w:p>
    <w:p>
      <w:r>
        <w:t>Pages translated : 2</w:t>
      </w:r>
    </w:p>
    <w:p/>
    <w:p>
      <w:r>
        <w:rPr>
          <w:b/>
        </w:rPr>
        <w:t>[Pages 1–2]</w:t>
      </w:r>
    </w:p>
    <w:p>
      <w:r>
        <w:t xml:space="preserve">FRENCH REPUBLIC  </w:t>
        <w:br/>
        <w:t xml:space="preserve">Decision No. 25-DCC-256 of October 29, 2025  </w:t>
        <w:br/>
        <w:t>regarding the exclusive control of certain industrial real estate assets by the company Blackstone</w:t>
      </w:r>
    </w:p>
    <w:p>
      <w:r>
        <w:t>The Competition Authority,</w:t>
      </w:r>
    </w:p>
    <w:p>
      <w:r>
        <w:t>Having regard to the complete notification file submitted to the mergers department on October 10, 2025, concerning the exclusive control of certain industrial real estate assets by the company Blackstone, formalized by a share transfer agreement dated September 27, 2025;</w:t>
      </w:r>
    </w:p>
    <w:p>
      <w:r>
        <w:t>Having regard to Book IV of the Commercial Code relating to the freedom of prices and competition, and in particular its Articles L. 430-1 to L. 430-7;</w:t>
      </w:r>
    </w:p>
    <w:p>
      <w:r>
        <w:t>Adopts the following decision:</w:t>
      </w:r>
    </w:p>
    <w:p>
      <w:r>
        <w:t>1. The notified operation consists of the acquisition, by the company Blackstone, of all the shares and voting rights related to certain industrial real estate assets (warehouses and logistics platforms) located in France and held by Ringmerit Ltd, Proudreed Ltd, Sheet Anchor Properties Ltd, and Langfell Ltd.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25-236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