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https://www.autoritedelaconcurrence.fr/fr/decision-de-controle-des-concentrations/relative-la-prise-de-controle-exclusif-de-certains-14</w:t>
      </w:r>
    </w:p>
    <w:p>
      <w:r>
        <w:t>Pages translated : 2</w:t>
      </w:r>
    </w:p>
    <w:p/>
    <w:p>
      <w:r>
        <w:rPr>
          <w:b/>
        </w:rPr>
        <w:t>[Pages 1–2]</w:t>
      </w:r>
    </w:p>
    <w:p>
      <w:r>
        <w:t xml:space="preserve">FRENCH REPUBLIC  </w:t>
        <w:br/>
        <w:t xml:space="preserve">Decision No. 26-DCC-121 of May 27, 2026  </w:t>
        <w:br/>
        <w:t xml:space="preserve">regarding the exclusive control acquisition of certain assets of the companies  </w:t>
        <w:br/>
        <w:t xml:space="preserve">Cavallari Côte d’Azur, Établissements Cavallari, and Cavallari Motorbike by the Bruschet Automobiles group  </w:t>
        <w:br/>
        <w:t xml:space="preserve">The Competition Authority,  </w:t>
        <w:br/>
        <w:t xml:space="preserve">Having regard to the notification file submitted to the mergers department on April 23, 2026, and declared complete on May 12, 2026, concerning the exclusive control acquisition of certain assets of the companies Cavallari Côte d’Azur, Établissements Cavallari, and Cavallari Motorbike by the Bruschet Automobiles group, formalized by takeover offers dated March 25 and 26, 2026, and the judgments of the Commercial Court of Nice dated May 11, 2026;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 xml:space="preserve">Adopts the following decision:  </w:t>
        <w:br/>
        <w:t xml:space="preserve">1. The notified operation consists of the exclusive control acquisition, by Bruschet Automobiles, of certain assets of the companies Cavallari Côte d’Azur, Établissements Cavallari, and Cavallari Motorbike, which are active in the sectors of retail distribution of motor vehicles and motorcycles, the sale of spare parts, and maintenance-repair. Cavallari Côte d’Azur, Établissements Cavallari, and Cavallari Motorbike operate respectively, under the brands Honda, MG Motor, and Aicam, three business establishments in Puget-sur-Argens (83) and Mougins (06).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26-104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