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https://www.autoritedelaconcurrence.fr/fr/decision-de-controle-des-concentrations/relative-la-prise-de-controle-exclusif-de-certains-15</w:t>
      </w:r>
    </w:p>
    <w:p>
      <w:r>
        <w:t>Pages translated : 2</w:t>
      </w:r>
    </w:p>
    <w:p/>
    <w:p>
      <w:r>
        <w:rPr>
          <w:b/>
        </w:rPr>
        <w:t>[Pages 1–2]</w:t>
      </w:r>
    </w:p>
    <w:p>
      <w:r>
        <w:t xml:space="preserve">FRENCH REPUBLIC  </w:t>
        <w:br/>
        <w:t xml:space="preserve">Decision No. 26-DCC-151 of July 10, 2026  </w:t>
        <w:br/>
        <w:t xml:space="preserve">regarding the exclusive control acquisition of certain assets of the Banca Monte dei Paschi di Siena group by Intesa Sanpaolo  </w:t>
        <w:br/>
        <w:t xml:space="preserve">The Competition Authority,  </w:t>
        <w:br/>
        <w:t xml:space="preserve">Having regard to the complete notification file sent to the mergers department on June 24, 2026, concerning the exclusive control acquisition of certain assets of the Banca Monte dei Paschi di Siena group by Intesa Sanpaolo, formalized by the announcement of a public purchase offer on June 8, 2026, and an agreement concluded with Unipol Assicurazioni on the same day;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Intesa Sanpaolo, following an unsolicited public purchase offer, of certain assets of the Banca Monte dei Paschi di Siena group. The sectors concerned by the operation in France are those of commercial banking and investment banking.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concerned markets.  </w:t>
        <w:br/>
        <w:t xml:space="preserve">1  </w:t>
        <w:br/>
        <w:t>Subject to the effective realization of the public purchase offer, nearly half of the bank branches of MPS in Italy, as well as the structures and systems necessary for the operation of these branches and the MPS brand, will be transferred to Unipol Assicurazioni as soon as possible following the acquisition of control of MPS by Intesa Sanpaolo, in accordance with an agreement concluded on June 8, 2026. Given the transitional nature of this operation, only the acquisition by Intesa Sanpaolo of exclusive control of MPS's activities, excluding the activities transferred to Unipol, constitutes the concentration notified to the Competition Authority.</w:t>
      </w:r>
    </w:p>
    <w:p>
      <w:r>
        <w:t xml:space="preserve">DECIDES  </w:t>
        <w:br/>
        <w:t xml:space="preserve">Sole Article: The operation notified under number 26-141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