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https://www.autoritedelaconcurrence.fr/fr/decision-de-controle-des-concentrations/relative-la-prise-de-controle-exclusif-de-certains-16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26-DCC-145 of July 9, 2026  </w:t>
        <w:br/>
        <w:t xml:space="preserve">regarding the exclusive control acquisition of certain assets of the company  </w:t>
        <w:br/>
        <w:t xml:space="preserve">Collège de Paris by the company Reworld Media  </w:t>
        <w:br/>
        <w:t xml:space="preserve">The Competition Authority,  </w:t>
        <w:br/>
        <w:t xml:space="preserve">Having regard to the complete notification file sent to the mergers department on June 24, 2026,  </w:t>
        <w:br/>
        <w:t xml:space="preserve">concerning the exclusive control acquisition of the company Collège de Paris by the company Reworld Media,  </w:t>
        <w:br/>
        <w:t xml:space="preserve">formalized by a judgment of the Paris Economic Activities Court on June 2,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Reworld Media of  </w:t>
        <w:br/>
        <w:t xml:space="preserve">several companies and associations held by the company Collège de Paris. The relevant sector  </w:t>
        <w:br/>
        <w:t xml:space="preserve">is that of initial and continuing education. The operation constitutes a concentration, within the meaning  </w:t>
        <w:br/>
        <w:t xml:space="preserve">of Article L. 430-1 of the Commercial Code. Given the turnover generated by the  </w:t>
        <w:br/>
        <w:t xml:space="preserve">concerned companies, the operation does not fall under the jurisdiction of the European Union. However,  </w:t>
        <w:br/>
        <w:t xml:space="preserve">the control thresholds mentioned in I of Article L. 430-2 of the Commercial Code are 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26-140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