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https://www.autoritedelaconcurrence.fr/fr/decision-de-controle-des-concentrations/relative-la-prise-de-controle-exclusif-de-certains-actifs-0</w:t>
      </w:r>
    </w:p>
    <w:p>
      <w:r>
        <w:t>Pages translated : 11</w:t>
      </w:r>
    </w:p>
    <w:p/>
    <w:p>
      <w:r>
        <w:rPr>
          <w:b/>
        </w:rPr>
        <w:t>[Pages 1–3]</w:t>
      </w:r>
    </w:p>
    <w:p>
      <w:r>
        <w:t xml:space="preserve">FRENCH REPUBLIC  </w:t>
        <w:br/>
        <w:t xml:space="preserve">Decision No. 12-DCC-153 of November 12, 2012  </w:t>
        <w:br/>
        <w:t xml:space="preserve">regarding the exclusive control of certain assets of the company  </w:t>
        <w:br/>
        <w:t>Sernam Services SNC by the company Calberson SNC</w:t>
      </w:r>
    </w:p>
    <w:p>
      <w:r>
        <w:t xml:space="preserve">The Competition Authority,  </w:t>
        <w:br/>
        <w:t xml:space="preserve">Having regard to the notification file sent to the merger service on May 14, 2012, and declared complete on October 5, 2012, concerning the exclusive control of certain assets of the company Sernam Services SNC by the company Calberson SNC formalized by a judgment of the Commercial Court of Nanterre dated April 13,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Geodis Calberson is 100% owned by the company Geodis (hereinafter "Geodis"), itself a subsidiary of the company SNCF Participations, whose capital is 99.98% owned by SNCF, the parent company of the SNCF group. The SNCF group is primarily active in the passenger rail transport sector as well as in logistics and freight transport, activities carried out within Geodis. The activities of Geodis are grouped around four main divisions: (i) maritime and air freight forwarding, (ii) contract logistics, (iii) parcel delivery, and (iv) road transport.  </w:t>
        <w:br/>
        <w:t xml:space="preserve">2. Sernam Services (hereinafter "Sernam") is owned by the holding company Financière Sernam. This company is owned to the extent of […] % by the France Private Equity Risk Fund, which is managed by the management company Butler Capital Partner. The remainder of the capital of Financière Sernam is held by Butler Capital Partner (to the extent of […] %) and by the main executives of the group. Sernam is active in three sectors: (i) parcel delivery; (ii) freight forwarding; and (iii) logistics services.  </w:t>
        <w:br/>
        <w:t xml:space="preserve">3. By judgment dated January 31, 2012, the Commercial Court of Nanterre opened a judicial recovery procedure for the benefit of Sernam. A takeover procedure in the form of a transfer plan was initiated. On March 9 and April 10, 2012, Geodis presented and then specified an offer defining the assets it proposed to acquire. Geodis was the only candidate to submit a takeover offer for the assets concerned by this notification. By judgment dated April 13, 2012, the Commercial Court of Nanterre approved a transfer plan in favor of Geodis. The acquisition involves tangible and intangible assets, including 42 agencies and certain contracts (collectively, the "target assets"). It also involves the takeover of 659 employment contracts. These assets pertain to parcel delivery, freight forwarding, and logistics services activities.  </w:t>
        <w:br/>
        <w:t xml:space="preserve">4. This exclusive control of certain assets of Sernam by Geodis constitutes a concentration within the meaning of Article L. 430-1 of the Commercial Code.  </w:t>
        <w:br/>
        <w:t>5. The concerned companies together generate a total worldwide turnover of over 150 million euros (SNCF group: 30.5 billion euros for the fiscal year ending December 31, 2010; target assets: […] euros for the same fiscal year). Each of these companies has generated, in France, a turnover exceeding 50 million euros (SNCF group: 24.3 billion euros for the fiscal year ending December 31, 2010; target assets: […] euros for the same fiscal year). The notification thresholds of Article 1 paragraph 1 of Regulation (EC) 139/2004 are exceeded, but since each of the concerned companies generates more than two-thirds of its turnover in the Union in France, the operation does not have a community dimension. This operation is therefore subject to the provisions of Articles L. 430-3 and following of the Commercial Code relating to economic concentration.</w:t>
      </w:r>
    </w:p>
    <w:p>
      <w:r>
        <w:t xml:space="preserve">II. Definition of the relevant markets  </w:t>
        <w:br/>
        <w:t>6. The parties are simultaneously active in the parcel delivery market, the freight forwarding market, and the logistics services market.</w:t>
      </w:r>
    </w:p>
    <w:p>
      <w:r>
        <w:t xml:space="preserve">A. PARCEL DELIVERY  </w:t>
        <w:br/>
        <w:t xml:space="preserve">1. PRODUCT MARKETS  </w:t>
        <w:br/>
        <w:t xml:space="preserve">7. The parcel delivery activity consists of the transportation of documents or parcels weighing less than three tons. According to the Xerfi study on parcel delivery and freight, "parcel delivery uses the so-called 'hub and spoke' spatial organization (...). This operation is based on three principles. First, the grouping and sorting centers are geographically concentrated in large platforms from which a dispersed distribution takes place. Secondly, these centers are connected to each other by regular traffic. Finally, the collected shipments are processed industrially by automatic sorting chains." It thus differs from traditional transport due to intermediate operations of sorting, grouping, and de-grouping, which consist of gathering or splitting shipments of goods from multiple senders to multiple recipients.  </w:t>
        <w:br/>
        <w:t xml:space="preserve">8. Within the parcel delivery activities, national and community competition authorities operate a segmentation between documents and parcels. The parties only offer parcel delivery services, for which different segmentations have been considered.  </w:t>
        <w:br/>
        <w:t xml:space="preserve">9. The decision-making practice distinguishes three types of services: traditional parcel delivery (delivery time of 24 to 72 hours within the national territory), express delivery (pickup before 6 PM for delivery generally the next day before 6 PM within the national territory, with times not guaranteed), and express delivery (pickup before 6 PM for delivery the next day before 12 or 1 PM within the national territory with various levels of guarantee on times and a possibility of tracking by the customer). Express delivery services can be on average up to 4 times more expensive than ordinary parcel delivery services.  </w:t>
        <w:br/>
        <w:t xml:space="preserve">10. Furthermore, competition authorities distinguish between national parcel delivery and international parcel delivery, particularly since parcel delivery operators may specialize in only one of these services and international parcel delivery services are more expensive.  </w:t>
        <w:br/>
        <w:t xml:space="preserve">11. Moreover, the European Commission distinguishes between delivery activities from professionals to professionals ("BtoB"), from professionals to individuals ("BtoC"), from individuals to professionals ("CtoB"), and between individuals ("CtoC"). Indeed, CtoC or CtoB delivery requires having agencies to welcome individuals so that they can drop off their shipments, unlike BtoB or BtoC delivery, where the carrier generally comes to the business to collect the shipments. BtoC delivery, for its part, requires having a denser network than BtoB delivery, as businesses are often grouped in activity zones, while individuals to be delivered may be much farther apart from each other. BtoC operators must thus have a larger fleet of delivery vehicles than BtoB operators, a necessity that makes BtoC services more expensive than BtoB services.  </w:t>
        <w:br/>
        <w:t>12. In this case, the parties simultaneously offer services of (i) domestic express parcel delivery BtoB; (ii) domestic express parcel delivery BtoC; (iii) parcel delivery.</w:t>
      </w:r>
    </w:p>
    <w:p>
      <w:r>
        <w:rPr>
          <w:b/>
        </w:rPr>
        <w:t>[Pages 4–6]</w:t>
      </w:r>
    </w:p>
    <w:p>
      <w:r>
        <w:t>traditional domestic BtoB parcel delivery; (iv) traditional domestic BtoC parcel delivery; (v) traditional international BtoB parcel delivery.</w:t>
      </w:r>
    </w:p>
    <w:p>
      <w:r>
        <w:t>13. The Competition Authority also considered segmenting the domestic express parcel delivery market for BtoB according to whether the weight of the parcels is less than or greater than 30 kilograms. The study by the General Commission for Sustainable Development, mentioned above, also analyzes the market following this dividing line.</w:t>
      </w:r>
    </w:p>
    <w:p>
      <w:r>
        <w:t>14. The elements gathered during the market test conducted for this operation confirm the relevance of this segmentation and show that the 30-kilogram limit is justified by the fact that beyond this weight, handling equipment is necessary, as loads exceeding 30 kilograms cannot be handled manually. Furthermore, sorting parcels weighing less than 30 kilograms can be fully automated, unlike that of heavier parcels. Indeed, parcels weighing less than 30 kilograms can be processed on automatic sorting lines where sorting is performed without manual intervention thanks to a barcode reading system affixed to the parcels. The processing of heavier shipments, on the other hand, is less automated, with shipments being transported using rolling carts placed on the ground, which are loaded and unloaded manually onto docks. The handling of parcels of all weights and that of parcels limited to 30 kilograms thus relies on different operational models. Operators such as TNT, Chronopost, and GLS are specialized in small parcel activities (hereinafter referred to as "small parcel specialists"), while Sernam and Geodis, through its subsidiaries France Express and Calberson, offer express services without weight limits, just like the Fedex group (via Tatex) and Mory, among others.</w:t>
      </w:r>
    </w:p>
    <w:p>
      <w:r>
        <w:t>15. However, the parties as well as several operators interviewed during the market test indicated that they were unable to break down their revenue between parcels weighing more than and less than 30 kilograms, as they only have data in terms of shipment weight (a single shipment may consist of several parcels). However, even operators who cannot handle parcels weighing more than 30 kilograms can still process shipments over 30 kilograms when they are divisible into several parcels of limited size below this weight and compete in this segment with Geodis and Sernam.</w:t>
      </w:r>
    </w:p>
    <w:p>
      <w:r>
        <w:t>16. The assessment of the positions of the parties and their main competitors will nevertheless be carried out on a global market for domestic express parcel delivery for BtoB, then distinguishing between shipments of more and less than 30 kilograms.</w:t>
      </w:r>
    </w:p>
    <w:p>
      <w:r>
        <w:t>2. GEOGRAPHIC MARKETS</w:t>
      </w:r>
    </w:p>
    <w:p>
      <w:r>
        <w:t>17. Regarding the geographic dimension of these markets, French and European decision-making practice has considered that the market for road freight transport and its segmentations generally has a national dimension, even though an evolution towards a European dimension is emerging.</w:t>
      </w:r>
    </w:p>
    <w:p>
      <w:r>
        <w:t>18. There is no reason to challenge this delimitation in the present decision.</w:t>
      </w:r>
    </w:p>
    <w:p>
      <w:r>
        <w:t>B. FREIGHT FORWARDING</w:t>
      </w:r>
    </w:p>
    <w:p>
      <w:r>
        <w:t>19. According to the French and European competition authorities, the activity of freight forwarding is defined as "the organization of the transport of goods (which may include, in addition to the transport itself, various other services, such as customs clearance or warehousing) on behalf of clients according to their needs." The competition authorities have considered a finer segmentation of this market according to (i) the mode of transport used, whether by air, sea, or land (including rail and road transport) or according to (ii) the national or international nature of the transport.</w:t>
      </w:r>
    </w:p>
    <w:p>
      <w:r>
        <w:t>20. The European Commission considers that the freight forwarding market has a national geographic dimension, particularly given the existence of linguistic and regulatory barriers, although it does not exclude a broader definition at the level of the European Economic Area.</w:t>
      </w:r>
    </w:p>
    <w:p>
      <w:r>
        <w:t>21. In this case, the question of the segmentation of this market as well as that of its geographic delimitation can be left open as the conclusions of the competitive analysis remain unchanged regardless of the hypothesis adopted.</w:t>
      </w:r>
    </w:p>
    <w:p>
      <w:r>
        <w:t>C. LOGISTICS</w:t>
      </w:r>
    </w:p>
    <w:p>
      <w:r>
        <w:t>22. French decision-making practice has defined logistics services as involving "the various links in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the transport of goods at a time and place defined by the client." While it is not necessary to segment the logistics services market by product category, the existence of distinct markets for certain specific products, such as "cold chain" products, has been recognized.</w:t>
      </w:r>
    </w:p>
    <w:p>
      <w:r>
        <w:t>23. Regarding the geographic definition of the market, decision-making practice has considered that the logistics services market is national in scope, given the existing regulatory and linguistic constraints.</w:t>
      </w:r>
    </w:p>
    <w:p>
      <w:r>
        <w:t>24. There is no reason to challenge these delimitations in the present decision.</w:t>
      </w:r>
    </w:p>
    <w:p>
      <w:r>
        <w:t>III. Competitive Analysis</w:t>
      </w:r>
    </w:p>
    <w:p>
      <w:r>
        <w:t>A. HORIZONTAL EFFECTS</w:t>
      </w:r>
    </w:p>
    <w:p>
      <w:r>
        <w:t>1. PARCEL DELIVERY MARKETS</w:t>
      </w:r>
    </w:p>
    <w:p>
      <w:r>
        <w:t>a) Traditional parcel delivery</w:t>
      </w:r>
    </w:p>
    <w:p>
      <w:r>
        <w:t>The segments on which the parties are simultaneously active as well as their market shares in value are detailed in the table below:</w:t>
      </w:r>
    </w:p>
    <w:p>
      <w:r>
        <w:t>New Group Target Competitor Competitor Competitor</w:t>
      </w:r>
    </w:p>
    <w:p>
      <w:r>
        <w:t>Assets SNCF entity 1 2 3</w:t>
      </w:r>
    </w:p>
    <w:p>
      <w:r>
        <w:t>Domestic</w:t>
      </w:r>
    </w:p>
    <w:p>
      <w:r>
        <w:t>[5-10] %</w:t>
      </w:r>
    </w:p>
    <w:p>
      <w:r>
        <w:t>[0-5] %</w:t>
      </w:r>
    </w:p>
    <w:p>
      <w:r>
        <w:t>[20-30] % Caravelle</w:t>
      </w:r>
    </w:p>
    <w:p>
      <w:r>
        <w:t>Global [10-20] % [0-5] % [10-20] % Schenker</w:t>
      </w:r>
    </w:p>
    <w:p>
      <w:r>
        <w:t>La Poste (Ducros and Joyau Mory)</w:t>
      </w:r>
    </w:p>
    <w:p>
      <w:r>
        <w:t>[5-10] %</w:t>
      </w:r>
    </w:p>
    <w:p>
      <w:r>
        <w:t>[0-5] %</w:t>
      </w:r>
    </w:p>
    <w:p>
      <w:r>
        <w:t>[20-30] % Caravelle</w:t>
      </w:r>
    </w:p>
    <w:p>
      <w:r>
        <w:t>BtoB [5-10] % [0-5] % [10-20] % Schenker</w:t>
      </w:r>
    </w:p>
    <w:p>
      <w:r>
        <w:t>La Poste (Ducros and Joyau Mory)</w:t>
      </w:r>
    </w:p>
    <w:p>
      <w:r>
        <w:t>[5-10] %</w:t>
      </w:r>
    </w:p>
    <w:p>
      <w:r>
        <w:t>[0-5] %</w:t>
      </w:r>
    </w:p>
    <w:p>
      <w:r>
        <w:t>[20-30] % Caravelle</w:t>
      </w:r>
    </w:p>
    <w:p>
      <w:r>
        <w:t>BtoC [10-20] % [5-10] % [10-20] % Schenker</w:t>
      </w:r>
    </w:p>
    <w:p>
      <w:r>
        <w:t>La Poste (Ducros and Joyau Mory)</w:t>
      </w:r>
    </w:p>
    <w:p>
      <w:r>
        <w:t>International</w:t>
      </w:r>
    </w:p>
    <w:p>
      <w:r>
        <w:t>[10-20] %</w:t>
      </w:r>
    </w:p>
    <w:p>
      <w:r>
        <w:t>[20-30] % [20-30] %</w:t>
      </w:r>
    </w:p>
    <w:p>
      <w:r>
        <w:t>Global [10-20] % [0-5] % [10-20] % Schenker</w:t>
      </w:r>
    </w:p>
    <w:p>
      <w:r>
        <w:t>La Poste TNT Joyau</w:t>
      </w:r>
    </w:p>
    <w:p>
      <w:r>
        <w:t>BtoB [5-10] % [0-5] % [5-10] % N/D N/D N/D</w:t>
      </w:r>
    </w:p>
    <w:p>
      <w:r>
        <w:rPr>
          <w:b/>
        </w:rPr>
        <w:t>[Pages 7–9]</w:t>
      </w:r>
    </w:p>
    <w:p>
      <w:r>
        <w:t>25. According to the estimates provided by the parties, the position of the new entity will vary between [10-20]% and [10-20]% depending on the segmentation considered. The market share increment resulting from the concentration will be moderate (at most [5-10]%) and the new entity will continue to face La Poste, the market leader with [20-30]% market share, as well as many other competitors such as Caravelle ([5-10]%), Schenker Joyau ([0-5]%) and Gefco.</w:t>
      </w:r>
    </w:p>
    <w:p>
      <w:r>
        <w:t>26. In the international segment, and according to the estimates provided by the parties, the operation will have a low impact given the low market share of the target (less than [0-5]%).</w:t>
      </w:r>
    </w:p>
    <w:p>
      <w:r>
        <w:t>27. The operation is therefore not likely to harm competition through horizontal effects in the traditional parcel delivery market, regardless of the segmentation considered.</w:t>
      </w:r>
    </w:p>
    <w:p>
      <w:r>
        <w:t>b) Domestic express parcel delivery</w:t>
      </w:r>
    </w:p>
    <w:p>
      <w:r>
        <w:t>i. BtoC domestic express parcel delivery</w:t>
      </w:r>
    </w:p>
    <w:p>
      <w:r>
        <w:t>28. The parties were unable to provide their market shares in this segment. However, they estimate that it is significantly below [10-20]%.</w:t>
      </w:r>
    </w:p>
    <w:p>
      <w:r>
        <w:t>29. In any case, it should be noted that this activity is marginal for the target (approximately […] euros, which is less than [0-5]% of its revenue) as well as the presence of large operators such as Chronopost and TNT, who are the market leaders.</w:t>
      </w:r>
    </w:p>
    <w:p>
      <w:r>
        <w:t>30. The operation is therefore not likely to harm competition through horizontal effects in the BtoC domestic express parcel delivery market.</w:t>
      </w:r>
    </w:p>
    <w:p>
      <w:r>
        <w:t>ii. BtoB domestic express parcel delivery</w:t>
      </w:r>
    </w:p>
    <w:p>
      <w:r>
        <w:t>31. The segments on which the parties are simultaneously active as well as their market shares in value are detailed in the table below. No reliable data on the total market size for shipments over 30 kilograms has been submitted to the file, so the position of the various players has been calculated based on the revenues of the parties and the 8 main competing operators, namely Fedex, TNT, Mory, GLS, UPS, Chronopost, Ducros, and Schenker Joyau. Other operators, not taken into account for the calculation of market shares, are regional providers of parcel delivery services, which exert only partial competitive pressure on national operators, as they are unable to cover the entire national territory within J+1, as well as national-scale providers, specialists in small parcels, for whom shipments over 30 kilograms represent a very marginal activity.</w:t>
      </w:r>
    </w:p>
    <w:p>
      <w:r>
        <w:t>New Group Target Competitor Competitor Competitor</w:t>
      </w:r>
    </w:p>
    <w:p>
      <w:r>
        <w:t>Assets SNCF entity 1 2 3</w:t>
      </w:r>
    </w:p>
    <w:p>
      <w:r>
        <w:t>Shipments</w:t>
      </w:r>
    </w:p>
    <w:p>
      <w:r>
        <w:t>[20-30]% [10-20]% [10-20]%</w:t>
      </w:r>
    </w:p>
    <w:p>
      <w:r>
        <w:t>less than [10-20]% [0-5]% [10-20]%</w:t>
      </w:r>
    </w:p>
    <w:p>
      <w:r>
        <w:t>TNT La Poste GLS</w:t>
      </w:r>
    </w:p>
    <w:p>
      <w:r>
        <w:t>30 kg</w:t>
      </w:r>
    </w:p>
    <w:p>
      <w:r>
        <w:t>[10-20]%</w:t>
      </w:r>
    </w:p>
    <w:p>
      <w:r>
        <w:t>Shipments over [10-20]% [10-20]% Caravelle</w:t>
      </w:r>
    </w:p>
    <w:p>
      <w:r>
        <w:t>[40-50]% [5-10]% [40-50]%</w:t>
      </w:r>
    </w:p>
    <w:p>
      <w:r>
        <w:t>30 kg Fedex TNT (Ducros and Mory)</w:t>
      </w:r>
    </w:p>
    <w:p>
      <w:r>
        <w:t>32. However, two reservations limit the conclusions that can be drawn from this data. First, the market shares are, as indicated, overestimated as they only take into account the activities of the parties and the eight leading competitors. Second, the data concerning the parties to the operation dates back to 2010. However, Geodis indicated in the notification that Sernam's overall revenue has deteriorated by approximately […]% since 2011. Consequently, the data concerning Sernam would be overestimated.</w:t>
      </w:r>
    </w:p>
    <w:p>
      <w:r>
        <w:t>33. In the segment of shipments under 30 kilograms, the market share of the new entity remains limited and the increment is marginal. The TNT group will remain the market leader with a position of around [20-30]%. The La Poste group, through its subsidiary Chronopost, is also present with a position of around [10-20]%. Furthermore, it should be noted that there are numerous smaller competitors such as GLS and DHL (approximately [10-20]% market share) as well as Fedex and UPS (approximately [5-10]% market share).</w:t>
      </w:r>
    </w:p>
    <w:p>
      <w:r>
        <w:t>34. Therefore, the operation is not likely to harm competition through horizontal effects in the BtoB domestic express parcel delivery market for shipments under 30 kilograms.</w:t>
      </w:r>
    </w:p>
    <w:p>
      <w:r>
        <w:t>35. In the segment of shipments over 30 kilograms, according to the revenues of the parties as well as those collected during the investigation from the main competitors, the subsidiaries of Geodis are largely leading. The competitors identified as offering express parcel delivery services likely to compete with the parties for shipments over 30 kilograms have market shares significantly lower than those of Geodis: Fedex (approximately [20-30]% market share), the Caravelle group (Mory and Ducros, approximately [10-20]%), as well as Schenker Joyau (less than [0-5]% market share).</w:t>
      </w:r>
    </w:p>
    <w:p>
      <w:r>
        <w:t>36. The strengthening related to the operation is, however, moderate: indeed, Sernam's market share in 2010 was estimated at [5-10]% but has since been affected by the company's failure. The market structure is therefore little affected by the operation.</w:t>
      </w:r>
    </w:p>
    <w:p>
      <w:r>
        <w:t>37. The potential reactions of competitors as well as customers will nevertheless be examined below, as well as the possibilities for a new operator to enter the market.</w:t>
      </w:r>
    </w:p>
    <w:p>
      <w:r>
        <w:t>c) Barriers to entry</w:t>
      </w:r>
    </w:p>
    <w:p>
      <w:r>
        <w:t>38. Launching a guaranteed J+1 delivery service across the entire national territory requires a dense network of agencies and a significant fleet of vehicles, which traditional and/or express parcel delivery operators currently do not possess, let alone road transporters. Moreover, the domestic express parcel delivery activity for BtoB shipments over 30 kilograms appears relatively unprofitable and therefore requires processing a significant volume to ensure balanced results. The entry of traditional and/or express parcel delivery operators, or even road transporters, into the market seems unlikely.</w:t>
      </w:r>
    </w:p>
    <w:p>
      <w:r>
        <w:t>39. However, the barriers to entry appear to be lower for operators already present in the national express parcel delivery market but specializing in "small parcels," even though they would need to invest in specialized equipment (manual or motorized trolleys, pallet trucks, larger trucks) to enter the segment of processing parcels or shipments over 30 kilograms.</w:t>
      </w:r>
    </w:p>
    <w:p>
      <w:r>
        <w:t>d) Competitors' reaction capabilities</w:t>
      </w:r>
    </w:p>
    <w:p>
      <w:r>
        <w:t>40. The main competitors of the new entity following the operation, Tatex, Mory, and Ducros, indicated that they could respond quickly and without major additional costs to any increase in demand for domestic express parcel delivery services for BtoB shipments over 30 kilograms (by 20 to 30% within 1 to 3 months). Their parcel delivery networks are indeed not fully utilized. A respondent to the market test even indicated that the French market has "players with strong potential."</w:t>
      </w:r>
    </w:p>
    <w:p>
      <w:r>
        <w:t>e) Customers' reaction capabilities</w:t>
      </w:r>
    </w:p>
    <w:p>
      <w:r>
        <w:t>41. The parties indicate that among their clients, large groups issue calls for tenders to meet their express delivery needs, while small and medium-sized enterprises most often deal locally with the sales teams of express delivery companies established in the region.</w:t>
      </w:r>
    </w:p>
    <w:p>
      <w:r>
        <w:t>42. Changing express delivery service providers requires internal reorganization at the client level, primarily involving adaptation of the IT system. Indeed, when a client contacts an express delivery company to arrange for the pickup of parcels and then delivery, the processing of the service generally occurs through computerized exchanges. Each express delivery company has its own computerized parcel pickup service system, which allows for ordering, processing, and tracking of the shipment. Responses to the market test indicate that a change in the information system involves a number of adjustments after its implementation, the duration of which varies depending on the type of clients (from 3 weeks to 3 months). The costs incurred by these changes are moderate and mainly consist of providing personnel for IT developments. A large number of clients indicated that the additional costs are generally borne by the new provider. In any case, the majority of them consider it relatively easy to change providers.</w:t>
      </w:r>
    </w:p>
    <w:p>
      <w:r>
        <w:t>43. Furthermore, it should be noted that the business relationships between express delivery operators and their clients are not systematically subject to a written contract. The notifying party estimates that approximately […]% of the […] most important clients in the French domestic express parcel delivery market have formalized their business relationships. When a contract is formalized, its duration is typically one or two years, and the contracts do not contain exclusivity clauses. Clients generally use at least two providers to secure their flows. However, it emerges from the market test that the majority of them had already used, prior to the operation, a carrier that is neither part of the Geodis group nor Sernam as a 2nd or 3rd provider. The Geodis group is therefore not an essential player to meet the needs for domestic express parcel delivery services for BtoB shipments over 30 kilograms. Moreover, the possibilities for the clients of the new entity to redirect their demand to competing offers, if necessary, will be facilitated by the fact that another provider is already referenced.</w:t>
      </w:r>
    </w:p>
    <w:p>
      <w:r>
        <w:t>44. Furthermore, the market test indicates that the vast majority of clients believe they have strong negotiating power vis-à-vis their carriers. This assertion is corroborated by the statements of the carriers, who mostly consider they have weak negotiating power vis-à-vis their clients. The Xerfi study on the express parcel delivery and freight sector confirms this point and notes in this regard that "in a context of high competitive intensity where the negotiating power of companies in the sector proves...</w:t>
      </w:r>
    </w:p>
    <w:p>
      <w:r>
        <w:rPr>
          <w:b/>
        </w:rPr>
        <w:t>[Pages 10–11]</w:t>
      </w:r>
    </w:p>
    <w:p>
      <w:r>
        <w:t>particularly limited in relation to their clients. The Xerfi study on the parcel delivery and express freight sector confirms this point and notes in this regard that "in a context of high competitive intensity where the bargaining power of companies in the sector proves to be particularly limited in the face of their clients, they experience great difficulties in raising their prices, particularly for parcel delivery specialists" and concludes that "a reversal of the balance of power appears unlikely."</w:t>
      </w:r>
    </w:p>
    <w:p>
      <w:r>
        <w:t>45. Responses to the market test confirm that several former clients of Sernam have already shifted their demand to other providers, either Geodis or other operators.</w:t>
      </w:r>
    </w:p>
    <w:p>
      <w:r>
        <w:t>46. It follows from the above that given the effective existence of alternative suppliers and the ability of clients to easily switch suppliers, the operation is not likely to harm competition through horizontal effects in the domestic express parcel delivery market for BtoB shipments over 30 kilograms.</w:t>
      </w:r>
    </w:p>
    <w:p>
      <w:r>
        <w:t>2. TRANSPORT BROKERAGE MARKET</w:t>
      </w:r>
    </w:p>
    <w:p>
      <w:r>
        <w:t>47. The parties are simultaneously active in the national and international segments of the road transport brokerage market. The parties indicate that in these different segments, Geodis's market share is below [0-5]% and that Sernam's share is marginal and therefore not likely to significantly increase the market share of the entity resulting from the concentration.</w:t>
      </w:r>
    </w:p>
    <w:p>
      <w:r>
        <w:t>48. Furthermore, this market is particularly fragmented with a significant number of companies. Thus, the market shares of each of the main operators in the market, namely Norbert Dentressangle, Gefco, and DHL Freight, do not exceed [0-5]%.</w:t>
      </w:r>
    </w:p>
    <w:p>
      <w:r>
        <w:t>49. The operation is therefore not likely to harm competition through horizontal effects in the transport brokerage market.</w:t>
      </w:r>
    </w:p>
    <w:p>
      <w:r>
        <w:t>3. LOGISTICS MARKET</w:t>
      </w:r>
    </w:p>
    <w:p>
      <w:r>
        <w:t>50. Geodis and Sernam, in a very marginal way, are simultaneously active in the French logistics services market. Their market shares are estimated by the parties to be [5-10]% for Geodis and [0-5]% for the target. The market share of the new entity will therefore be low with an increment of less than [0-5]% and it will face competition from major operators such as Norbert Dentressangle, Faure et Machet, Rhenus (Wincanton), and Kuehne + Nagel.</w:t>
      </w:r>
    </w:p>
    <w:p>
      <w:r>
        <w:t>51. The operation is therefore not likely to harm competition through horizontal effects in the French logistics services market.</w:t>
      </w:r>
    </w:p>
    <w:p>
      <w:r>
        <w:t>B. CONGLOMERATE EFFECTS</w:t>
      </w:r>
    </w:p>
    <w:p>
      <w:r>
        <w:t>52. The operation allows Geodis to strengthen its position in the markets where it was already present.</w:t>
      </w:r>
    </w:p>
    <w:p>
      <w:r>
        <w:t>53. Nevertheless, this strengthening is not likely to harm competition given that the market share of the new entity never exceeds [20-30]%, except in the market for express parcel delivery for BtoB shipments over 30 kilograms. It has, however, been demonstrated above that clients are not captive to this market and have alternative suppliers capable of absorbing any potential shifts in demand. The new entity will therefore not be able to leverage its position in this market to eliminate its competitors.</w:t>
      </w:r>
    </w:p>
    <w:p>
      <w:r>
        <w:t>54. Furthermore, even if the operation allows Geodis to strengthen several distinct parcel delivery activities, it is not established that the criterion of range width is likely to confer a decisive competitive advantage in this sector. Indeed, the vast majority of respondents to the market test indicated that the fact that an operator offers different types of parcel delivery services did not influence their choice in its favor. This point had already been noted by the minister in a previous decision.</w:t>
      </w:r>
    </w:p>
    <w:p>
      <w:r>
        <w:t>55. Therefore, the operation is not likely to harm competition through conglomerate effects in the relevant markets.</w:t>
      </w:r>
    </w:p>
    <w:p>
      <w:r>
        <w:t>DECIDES</w:t>
      </w:r>
    </w:p>
    <w:p>
      <w:r>
        <w:t>Sole Article: The operation notified under number 12-041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