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https://www.autoritedelaconcurrence.fr/fr/decision-de-controle-des-concentrations/relative-la-prise-de-controle-exclusif-de-certains-actifs-4</w:t>
      </w:r>
    </w:p>
    <w:p>
      <w:r>
        <w:t>Pages translated : 8</w:t>
      </w:r>
    </w:p>
    <w:p/>
    <w:p>
      <w:r>
        <w:rPr>
          <w:b/>
        </w:rPr>
        <w:t>[Pages 1–3]</w:t>
      </w:r>
    </w:p>
    <w:p>
      <w:r>
        <w:t xml:space="preserve">FRENCH REPUBLIC  </w:t>
        <w:br/>
        <w:t xml:space="preserve">Decision No. 15-DCC-33 of March 20, 2015  </w:t>
        <w:br/>
        <w:t xml:space="preserve">regarding the exclusive control of certain assets of the Gad group  </w:t>
        <w:br/>
        <w:t>by the Société Vitréenne d’Abattage Jean Roze</w:t>
      </w:r>
    </w:p>
    <w:p>
      <w:r>
        <w:t xml:space="preserve">The Competition Authority,  </w:t>
        <w:br/>
        <w:t xml:space="preserve">Having regard to the notification file sent to the merger service on September 26, 2014, declared complete on February 13, 2015, regarding the exclusive control of assets of the company Gad by the company SVA Jean Roze, a subsidiary of ITM Entreprises, formalized by a judgment of the Commercial Court of Rennes dated October 16,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Société Vitréenne d’Abattage Jean Roze (hereinafter "SVA") is owned by the company ITM Entreprise through its subsidiary Cofipar. It is active in the purchase of livestock, the slaughter of meat animals (mainly cattle, sheep, and pigs), and the supply of meat for traditional butchery and self-service. It is also active in the processing of slaughter by-products, the incineration of wastewater treatment sludge and waste from agri-food establishments or communities, as well as the production of biofuels.  </w:t>
        <w:br/>
        <w:t>2. The company Gad specializes in the slaughter, cutting, and industrial processing of pork meat as well as the marketing of products derived from it, including fresh meat and cured products. It is owned, through the holding company Financière du Forest, by the Centrale Coopérative Agricole Bretonne (51%) and the Coopérative Agricole Prestor (49%). The assets targeted by this operation (hereinafter, "the target" or "the target assets") consist of the tangible and intangible elements necessary for the operation of the slaughter and cutting site for pigs located in Josselin (56).</w:t>
      </w:r>
    </w:p>
    <w:p>
      <w:r>
        <w:t xml:space="preserve">3. Gad was placed under judicial reorganization by judgment of the Commercial Court of Rennes dated February 27, 2013, and then into judicial liquidation on September 11, 2014, by the same court. By a partial takeover offer dated September 25, 2014, SVA applied to acquire the target assets. The Court accepted this offer by judgment dated October 16, 2014.  </w:t>
        <w:br/>
        <w:t>4. The companies concerned together achieve a total worldwide turnover excluding tax of more than 150 million euros (ITM: [...] euros for the fiscal year ending December 31, 2013; the target: [...] euros for the fiscal year ending December 31, 2013). Each of these companies achieved a turnover in France exceeding 50 million euros (ITM: [...] euros for the fiscal year ending December 31, 2013; the target: [...] euros for the fiscal year ending December 31, 2013).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In the sector of meat processing and marketing, decision-making practice operates a segmentation between the different stages of meat processing, which correspond to the treatment cycle of animals and their meat. The first processing includes the collection of live animals for slaughter, after which carcasses and by-products are obtained and sold. The second processing includes the deboning and cutting of carcasses. The third processing consists of packaging meat ready to cook, intended for the final consumer. Finally, the fourth processing corresponds to the manufacture of processed meat products.  </w:t>
        <w:br/>
        <w:t>6. The parties are simultaneously active in the pig meat sector in the markets for the first and second processing. ITM is solely present in the markets for the third and fourth processing.</w:t>
      </w:r>
    </w:p>
    <w:p>
      <w:r>
        <w:t xml:space="preserve">A. THE MARKETS FOR THE FIRST PROCESSING  </w:t>
        <w:br/>
        <w:t>7. Within the first processing, decision-making practice distinguishes the markets for the collection of live animals for slaughter, the markets for slaughter services on behalf of third parties, the markets for carcasses, and the markets for by-products. In this case, the parties are simultaneously active only in the markets for the collection of live pigs for slaughter and carcasses.</w:t>
      </w:r>
    </w:p>
    <w:p>
      <w:r>
        <w:t xml:space="preserve">1. The markets for the collection of live pigs for slaughter  </w:t>
        <w:br/>
        <w:t xml:space="preserve">a) The product market  </w:t>
        <w:br/>
        <w:t>8. Generally, decision-making practice retains a segmentation of collection markets in agriculture and livestock based on the type of products collected. Thus, in the meat sector, it has been considered that there are as many distinct markets as there are species of animals slaughtered, with differences in weight and size requiring specific equipment. Regarding pigs, decision-making practice has considered a segmentation between pigs and sows, the latter corresponding to cull pigs that have become unfit for breeding. Sows are heavier than pigs, which implies the use of different slaughter lines, their meat being primarily used for the manufacture of processed products.</w:t>
      </w:r>
    </w:p>
    <w:p>
      <w:r>
        <w:t xml:space="preserve">b) The geographical markets  </w:t>
        <w:br/>
        <w:t xml:space="preserve">9. In the most recent decisions relating to this sector, competition authorities have considered that the market for the collection of pigs for slaughter is of local dimension and have retained, for the competitive analysis, an area of 120 to 200 kilometers around the slaughterhouses. It should be noted that an area of such dimension approximately covers an entire region.  </w:t>
        <w:br/>
        <w:t>10. In this case, the analysis will be conducted over an area of 200 kilometers around the target slaughterhouse located in Josselin in Morbihan (56), where two slaughterhouses belonging to SVA are located, one in La Guerche in Ille-et-Vilaine (35) and the other in Trémorel in Côtes d’Armor (22).</w:t>
      </w:r>
    </w:p>
    <w:p>
      <w:r>
        <w:t xml:space="preserve">2. The markets for carcasses  </w:t>
        <w:br/>
        <w:t xml:space="preserve">a) The product market  </w:t>
        <w:br/>
        <w:t>11. The market for carcasses is segmented according to the type of animal from which the carcass originates. It has been considered to segment this market according to the size or origin of the animal, particularly in the case of cattle, or according to the distribution channel by distinguishing large and medium-sized retailers (hereinafter "GMS"), the agri-food industry (hereinafter "IAA"), and butcheries.</w:t>
      </w:r>
    </w:p>
    <w:p>
      <w:r>
        <w:rPr>
          <w:b/>
        </w:rPr>
        <w:t>[Pages 4–6]</w:t>
      </w:r>
    </w:p>
    <w:p>
      <w:r>
        <w:t>artisanal charcuteries (hereinafter "BCA") and out-of-home catering (hereinafter "RHD")7.</w:t>
      </w:r>
    </w:p>
    <w:p>
      <w:r>
        <w:t>12. In this case, the analysis remains unchanged regardless of the assumptions made, and there is no need to specify the exact delineation of these markets.</w:t>
      </w:r>
    </w:p>
    <w:p>
      <w:r>
        <w:t>b) The geographical markets</w:t>
      </w:r>
    </w:p>
    <w:p>
      <w:r>
        <w:t>13. The decision-making practice8 considers that the markets for carcasses and by-products, as well as their possible segmentations, are at least of national dimension.</w:t>
      </w:r>
    </w:p>
    <w:p>
      <w:r>
        <w:t>14. There is no reason to challenge this delineation in the present case.</w:t>
      </w:r>
    </w:p>
    <w:p>
      <w:r>
        <w:t>B. THE SECOND AND THIRD PROCESSING MARKETS</w:t>
      </w:r>
    </w:p>
    <w:p>
      <w:r>
        <w:t>1. The product markets</w:t>
      </w:r>
    </w:p>
    <w:p>
      <w:r>
        <w:t>15. "Meats from the second processing" are referred to as cut and/or deboned meats, often vacuum-packed for better preservation, and marketed to various types of customers9, who will carry out further processing of this merchandise for presentation for sale. Decision-making practice considers that there is a market for each type of fresh meat sold and has distinguished the market for fresh pork from other types of fresh meat10. The market has also been segmented by distribution channels: GMS, BCA, IAA, and RHD11.</w:t>
      </w:r>
    </w:p>
    <w:p>
      <w:r>
        <w:t>16. "Meats from the third processing" are referred to as ready-to-cook meats, packaged in the form of Industrial Consumer Sales Units ("UVCI") and directly presentable for sale. Decision-making practice has segmented this market according to (i) the different animal species from which they originate and (ii) the different distribution channels12. Regarding sales to GMS, national decision-making practice has also considered, while leaving the question open, a segmentation based on product positioning13.</w:t>
      </w:r>
    </w:p>
    <w:p>
      <w:r>
        <w:t>17. Decision-making practice14 has considered making the second and third processing market a single market. In this case, it is not necessary to rule on the question of the exact delineation of the market, as the conclusions of the competitive analysis remain unchanged regardless of the delineation adopted.</w:t>
      </w:r>
    </w:p>
    <w:p>
      <w:r>
        <w:t>18. In this case, the parties are simultaneously active only in the second processing market aimed at IAA and BCA, the target being absent from the third processing market.</w:t>
      </w:r>
    </w:p>
    <w:p>
      <w:r>
        <w:t>2. The geographical markets</w:t>
      </w:r>
    </w:p>
    <w:p>
      <w:r>
        <w:t>19. European decision-making practice has considered that the markets for fresh meat (second and third processing) are of national dimension. However, it has also noted the trend towards increasing transnational trade flows, which would suggest a geographical dimension of these markets broader than national.</w:t>
      </w:r>
    </w:p>
    <w:p>
      <w:r>
        <w:t>20. In this case, the analysis will be conducted at the national level. The question of the geographical dimension of these markets may remain open, as the conclusions of the competitive analysis will remain unchanged regardless of the assumption made.</w:t>
      </w:r>
    </w:p>
    <w:p>
      <w:r>
        <w:t>C. THE FOURTH PROCESSING MARKETS</w:t>
      </w:r>
    </w:p>
    <w:p>
      <w:r>
        <w:t>1. The product markets</w:t>
      </w:r>
    </w:p>
    <w:p>
      <w:r>
        <w:t>21. The fourth processing corresponds to products made from meat. The European Commission15 has defined these products as raw, dried, smoked, or cooked meats from mammals or birds, containing ingredients such as salt or spices. This definition has been adopted by the Competition Authority16.</w:t>
      </w:r>
    </w:p>
    <w:p>
      <w:r>
        <w:t>22. National competition authorities have more specifically analyzed the markets for charcuterie17, which mainly concern pork. For these markets, decision-making practice has segmented based on the family to which the product belongs and the distribution channel (GMS, IAA, and RHF) and, for GMS, has considered a sub-segmentation based on the mode of distribution (self-service or cut) and product positioning18.</w:t>
      </w:r>
    </w:p>
    <w:p>
      <w:r>
        <w:t>23. Regarding segmentation by product family, INSEE, the Ministry of Agriculture, and the French Federation of Charcutiers, Caterers, and Meat Processors use a nomenclature that distinguishes twenty-three product families grouped according to their preparation method (raw or cooked), the technology used (salting, drying, smoking, cooking, canning, freezing), and the type of meat used (pork, poultry, beef, game, etc.). The relevance of this segmentation into twenty-three product families has, to date, not been challenged, as the operations examined do not raise competition issues even at this very fine level of segmentation19.</w:t>
      </w:r>
    </w:p>
    <w:p>
      <w:r>
        <w:t>24. Regarding segmentation for GMS, based on product positioning20, between, on the one hand, manufacturer brands ("MDF") and, on the other hand, distributor brands ("MDD"), entry-level brands ("MPP"), and hard discount brands ("MHD") (hereinafter collectively referred to as "MDD"), European and national decision-making practice has questioned its relevance for the markets of pork charcuterie, while leaving the question open21.</w:t>
      </w:r>
    </w:p>
    <w:p>
      <w:r>
        <w:t>25. In this case, it is not necessary to rule on the exact delineation of the markets, as the conclusions of the analysis remain unchanged regardless of the assumption made. The market for pork charcuterie will only be taken into account for the analysis of the vertical effects of the operation.</w:t>
      </w:r>
    </w:p>
    <w:p>
      <w:r>
        <w:t>2. The geographical markets</w:t>
      </w:r>
    </w:p>
    <w:p>
      <w:r>
        <w:t>26. National and community competition authorities have retained a national dimension for the markets of the fourth processing.</w:t>
      </w:r>
    </w:p>
    <w:p>
      <w:r>
        <w:t>27. There is no reason to challenge the national dimension of the markets concerned in the context of the present operation.</w:t>
      </w:r>
    </w:p>
    <w:p>
      <w:r>
        <w:t>III. Competitive Analysis</w:t>
      </w:r>
    </w:p>
    <w:p>
      <w:r>
        <w:t>A. ANALYSIS OF HORIZONTAL EFFECTS</w:t>
      </w:r>
    </w:p>
    <w:p>
      <w:r>
        <w:t>1. THE MARKET FOR THE COLLECTION OF LIVE PIGS FOR SLAUGHTER</w:t>
      </w:r>
    </w:p>
    <w:p>
      <w:r>
        <w:t>28. At the local level, within a catchment area of 200 kilometers around the target slaughterhouse located in Josselin, the parties to the operation estimate that their combined market share will be [10-20]% ([5-10]% for ITM; [5-10]% for the target). They will notably face competition from Cooperl ([20-30]%), Bigard ([20-30]%), and Kermene ([5-10]%).</w:t>
      </w:r>
    </w:p>
    <w:p>
      <w:r>
        <w:t>29. As a result, the operation is not likely to harm competition through horizontal effects in the market for the collection and sale of pigs for slaughter.</w:t>
      </w:r>
    </w:p>
    <w:p>
      <w:r>
        <w:t>2. THE MARKET FOR CARCASSES</w:t>
      </w:r>
    </w:p>
    <w:p>
      <w:r>
        <w:t>30. In the carcass market, the parties estimate that the market share of the new entity will be [10-20]% ([5-10]% for ITM; [5-10]% for the target). The parties have not been able to provide their market shares segmented by distribution channel. However, they specify that more than [70-80]% of their production is intended for</w:t>
      </w:r>
    </w:p>
    <w:p>
      <w:r>
        <w:rPr>
          <w:b/>
        </w:rPr>
        <w:t>[Pages 7–8]</w:t>
      </w:r>
    </w:p>
    <w:p>
      <w:r>
        <w:t>self-consumption, the remainder being intended for the IAA channels ([5-10]% for ITM; [10-20]% for the target) and BCA ([10-20]% for ITM; [10-20]% for the target).</w:t>
      </w:r>
    </w:p>
    <w:p>
      <w:r>
        <w:t>31. It follows that the operation is not likely to harm competition in the first processing market.</w:t>
      </w:r>
    </w:p>
    <w:p>
      <w:r>
        <w:t>3. THE SECOND PROCESSING MARKET</w:t>
      </w:r>
    </w:p>
    <w:p>
      <w:r>
        <w:t>32. In the second processing market, the parties estimate that they will hold, following the operation, a market share of [5-10]% in the distribution channel of IAA ([0-5]% for ITM; [0-5]% for the target) and [10-20]% in the BCA distribution channel ([5-10]% for ITM; [5-10]% for the target).</w:t>
      </w:r>
    </w:p>
    <w:p>
      <w:r>
        <w:t>33. Given these low positions, the operation is not likely to harm competition in these markets.</w:t>
      </w:r>
    </w:p>
    <w:p>
      <w:r>
        <w:t>B. ANALYSIS OF VERTICAL EFFECTS</w:t>
      </w:r>
    </w:p>
    <w:p>
      <w:r>
        <w:t>34. A vertical concentration can restrict competition by making access to the markets where the new entity will be active more difficult,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decision-making practice of competition authorities generally dismisses these lock-in risks when the share of the company resulting from the operation in the relevant markets does not exceed 30%.</w:t>
      </w:r>
    </w:p>
    <w:p>
      <w:r>
        <w:t>35. In this case, there is a vertical link between the upstream markets of slaughtering, first and second processing, and the downstream market of fourth processing, where only ITM is present.</w:t>
      </w:r>
    </w:p>
    <w:p>
      <w:r>
        <w:t>36. However, the parties' position in the upstream markets will remain below [10-20]%, regardless of the market considered, as indicated above regarding horizontal effects. Similarly, it should be noted that ITM's market share is below [10-20]% in the downstream markets of fourth processing, regardless of the segmentation considered22.</w:t>
      </w:r>
    </w:p>
    <w:p>
      <w:r>
        <w:t>37. It follows that the parties will neither have the capacity nor the incentives to implement a lock-in strategy. The operation is therefore not likely to harm competition through vertical effects.</w:t>
      </w:r>
    </w:p>
    <w:p>
      <w:r>
        <w:t>22 The parties were unable to provide their market shares by distribution channel but specify that 95% of their sales occur within the ITM group to Intermarché supermarkets.</w:t>
      </w:r>
    </w:p>
    <w:p>
      <w:r>
        <w:t>DECIDES</w:t>
      </w:r>
    </w:p>
    <w:p>
      <w:r>
        <w:t>Sole Article: The operation notified under number 14-168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