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https://www.autoritedelaconcurrence.fr/fr/decision-de-controle-des-concentrations/relative-la-prise-de-controle-exclusif-de-certains-actifs-5</w:t>
      </w:r>
    </w:p>
    <w:p>
      <w:r>
        <w:t>Pages translated : 5</w:t>
      </w:r>
    </w:p>
    <w:p/>
    <w:p>
      <w:r>
        <w:rPr>
          <w:b/>
        </w:rPr>
        <w:t>[Pages 1–3]</w:t>
      </w:r>
    </w:p>
    <w:p>
      <w:r>
        <w:t xml:space="preserve">FRENCH REPUBLIC  </w:t>
        <w:br/>
        <w:t xml:space="preserve">Decision No. 15-DCC-69 of June 15, 2015  </w:t>
        <w:br/>
        <w:t>regarding the exclusive control of certain assets of Hitachi Appliances by Johnson Controls Inc.</w:t>
      </w:r>
    </w:p>
    <w:p>
      <w:r>
        <w:t xml:space="preserve">The Competition Authority,  </w:t>
        <w:br/>
        <w:t xml:space="preserve">Having regard to the notification file submitted in full to the merger service on May 6, 2015, regarding the exclusive control of certain assets of Hitachi Appliances by Johnson Controls, formalized by a draft "Master Transactions Agreement" dated January 21, 2015, as well as by a draft shareholders' agreement;  </w:t>
        <w:br/>
        <w:t xml:space="preserve">Having regard to Book IV of the Commercial Code relating to price freedom and competition, and in particular Articles L.430-1 to L.430-7;  </w:t>
        <w:br/>
        <w:t>Adopts the following decision:</w:t>
      </w:r>
    </w:p>
    <w:p>
      <w:r>
        <w:t xml:space="preserve">I. The companies concerned and the operation  </w:t>
        <w:br/>
        <w:t xml:space="preserve">1. Johnson Controls, Inc. is the parent company of the Johnson Controls group (hereinafter, "JCI") primarily active in the fields of building efficiency (heating, ventilation, air conditioning systems) and workspace design, as well as automotive and energy solutions (mainly automotive batteries). Johnson Controls, Inc. is listed on the New York Stock Exchange, with no shareholder able to exert decisive influence over the company. Its activities in France, grouped under Johnson Controls Industries, consist of installing and maintaining heating, ventilation, air conditioning, and refrigeration systems, generally referred to by the English acronym "HVAC/R."  </w:t>
        <w:br/>
        <w:t xml:space="preserve">2. Hitachi Appliances is a 100% subsidiary of Hitachi Ltd., which heads a globally active Japanese conglomerate in the fields of engineering and electronics. Hitachi Ltd. is listed on the Tokyo Stock Exchange and is not under the control of any of its shareholders. Hitachi Appliances is active in the manufacturing and marketing of air conditioning systems, variable refrigeration, cooling, and compressors intended for air conditioning systems.  </w:t>
        <w:br/>
        <w:t xml:space="preserve">3. The operation, formalized by a "Master Transactions Agreement" dated January 21, 2015, involves the acquisition by JCI of 60% of the shares of a subsidiary created by Hitachi Appliances, to which the latter will contribute its heating, ventilation, and air conditioning activities (hereinafter "Hitachi's assets"). Hitachi Appliances will hold 40% of the capital of this new company. Under the terms of the draft shareholders' agreement, Hitachi will not hold any veto rights over strategic decisions exceeding the rights generally conferred to a minority shareholder. Therefore, Hitachi will not be able to exert decisive influence over the target.  </w:t>
        <w:br/>
        <w:t xml:space="preserve">4. As it results in the exclusive control of Hitachi's assets by JCI, the notified operation constitutes a concentration within the meaning of Article L.430-1 of the Commercial Code.  </w:t>
        <w:br/>
        <w:t>5. The companies concerned have together achieved a consolidated worldwide turnover excluding taxes of more than 150 million euros in the last closed financial year (JCI: 31.5 billion euros for the financial year ending September 30, 2014; Hitachi's assets: […] euros for the financial year ending March 31, 2014). Each of these companies has achieved, in France, a turnover exceeding 50 million euros (JCI: […] euros for the financial year ending September 30, 2014; Hitachi's assets: […] euros for the financial year ending March 31, 2014). Given these turnover figures, the operation does not fall under the jurisdiction of the European Union. However, the control thresholds mentioned in I of Article L.430-2 of the Commercial Code are exceeded. This operation is therefore subject to the provisions of Articles L.430-3 and following of the Commercial Code relating to economic concentration.</w:t>
      </w:r>
    </w:p>
    <w:p>
      <w:r>
        <w:t xml:space="preserve">II. Delimitation of the relevant markets  </w:t>
        <w:br/>
        <w:t xml:space="preserve">6. The parties to the operation are both active in the design, development, and manufacture of air conditioning systems.  </w:t>
        <w:br/>
        <w:t xml:space="preserve">A. THE DELIMITATION OF THE PRODUCT MARKET FOR THE MANUFACTURE AND SALE OF AIR CONDITIONING PRODUCTS  </w:t>
        <w:br/>
        <w:t>7. The parties are simultaneously active in the production and sale of air conditioning products. Air conditioning is a mechanical process that allows for the control of humidity, temperature, purity, and air circulation indoors. Air conditioning systems are primarily differentiated based on their cooling capacity measured in kilowatts.</w:t>
      </w:r>
    </w:p>
    <w:p>
      <w:r>
        <w:t xml:space="preserve">8. The European Commission noted that the air conditioning industry is part of a broader sector encompassing heating, ventilation, air conditioning, and refrigeration, generally referred to by the English acronym "HVAC/R," these products serving to provide air of reasonable quality and temperature.  </w:t>
        <w:br/>
        <w:t xml:space="preserve">9. In France, manufacturers sell their refrigeration and air conditioning products through specialized distributors who, in turn, resell these products to specialized installers. Subsequently, these HVAC/R installers assemble the different components and integrate them into buildings or houses for their own clients, whether professional or private. Therefore, it is appropriate to consider two categories of markets: (i) the upstream markets for the supply of distributors from manufacturers and (ii) the downstream markets for distribution by distributors to installers.  </w:t>
        <w:br/>
        <w:t xml:space="preserve">10. In this case, the notifying party indicates that air conditioning systems intended for homes and small to medium-sized businesses can be sold through distributors, but this is not the case for air conditioning systems intended for large commercial and industrial buildings. Furthermore, only Hitachi's assets are present in the market for air conditioning systems intended for homes and small to medium-sized businesses. Consequently, the activity overlaps in a downstream market for the distribution of air conditioning systems would be very limited, and the effects of the operation will therefore primarily be examined in the markets for the manufacture and sale of air conditioning systems, which are directly sold to installers and end customers.  </w:t>
        <w:br/>
        <w:t xml:space="preserve">11. The decision-making practice distinguishes air conditioning systems based on whether they are intended for homes and small or medium-sized businesses from those intended for large commercial or industrial buildings, the latter requiring specific equipment as well as appropriate expertise for their installation and maintenance. This segmentation is generally associated with a cooling capacity. On the occasion of its decision No. COMP/M.4271, the Commission analyzed the effects of the operation on the segments (i) of air conditioning systems for homes and small businesses with a cooling capacity of less than 25 kW; (ii) of air conditioning systems for medium-sized businesses with a cooling capacity between 25 kW and 250 kW; and (iii) of air conditioning systems for large businesses and industrial real estate with a cooling capacity exceeding 250 kW. A segmentation was also considered based on the type of air conditioning system. However, these questions were left open.  </w:t>
        <w:br/>
        <w:t>12. In this case, JCI primarily manufactures and sells large air conditioning systems intended for commercial buildings and large infrastructures. JCI does not provide any air conditioning products with a cooling capacity of less than 50 kW and provides very few...</w:t>
      </w:r>
    </w:p>
    <w:p>
      <w:r>
        <w:rPr>
          <w:b/>
        </w:rPr>
        <w:t>[Pages 4–5]</w:t>
      </w:r>
    </w:p>
    <w:p>
      <w:r>
        <w:t>products with a power output below 250 kW. Hitachi Appliances manufactures and sells primarily small air conditioning systems intended for homes and small to medium-sized businesses. The operation therefore results in minimal activity overlaps.</w:t>
      </w:r>
    </w:p>
    <w:p>
      <w:r>
        <w:t>13. The notifying party has provided an estimate of the market shares of the parties involved in the operation in the segments of air conditioning systems intended for homes and small to medium-sized businesses by considering products with a cooling capacity below 250 kW, as well as in the segment of air conditioning systems intended for large commercial or industrial buildings by considering products with a cooling capacity above 250 kW.</w:t>
      </w:r>
    </w:p>
    <w:p>
      <w:r>
        <w:t>14. The question of the exact delineation of the HVAC/R equipment markets may nevertheless be left open insofar as, regardless of the market definitions retained, the conclusions of the competitive analysis will remain unchanged.</w:t>
      </w:r>
    </w:p>
    <w:p>
      <w:r>
        <w:t>B. THE GEOGRAPHICAL DELIMITATION OF THE MARKET FOR THE MANUFACTURE AND SALE OF AIR CONDITIONING PRODUCTS</w:t>
      </w:r>
    </w:p>
    <w:p>
      <w:r>
        <w:t>15. European decision-making practice has indicated, while leaving the question open, that the geographical dimension of these markets could be the European Economic Area and at least national. In a recent decision, it examined the effects of a concentration at the EEA level and at the national level while leaving the question open.</w:t>
      </w:r>
    </w:p>
    <w:p>
      <w:r>
        <w:t>16. In this case, the effects of the operation will be examined at the EEA level and at the national level. The question of the exact geographical delineation of the air conditioning markets may be left open, as the conclusions of the competitive analysis are not affected by the delineations retained.</w:t>
      </w:r>
    </w:p>
    <w:p>
      <w:r>
        <w:t>III. Competitive Analysis</w:t>
      </w:r>
    </w:p>
    <w:p>
      <w:r>
        <w:t>17. In the segment of air conditioning systems intended for homes and small to medium-sized businesses (with a cooling capacity below 250 kilowatts), the notifying party estimated the market share of the new entity at [10-20]% in the French market. The increment in market share is very low since JCI has an estimated market share of [0-5]%. The new entity will also face competition from significant operators such as Daikin ([30-40]%), Mitsubishi Electric ([10-20]%), UTC ([10-20]%), and Atlantic ([10-20]%).</w:t>
      </w:r>
    </w:p>
    <w:p>
      <w:r>
        <w:t>18. In a potential EEA market for air conditioning systems intended for homes and small to medium-sized businesses, the new entity will have an estimated market share of [5-10]%, with an increment in market share of [0-5]% for Hitachi's assets. The new entity will continue to face operators also present in the French market, such as Daikin ([20-30]%), Mitsubishi Electric ([10-20]%), UTC ([5-10]%), and Panasonic ([5-10]%).</w:t>
      </w:r>
    </w:p>
    <w:p>
      <w:r>
        <w:t>19. In a potential segment of air conditioning systems intended for large commercial or industrial buildings (with a cooling capacity above 250 kilowatts), the notifying party estimated the market share of the new entity at [0-5]% in France and at [0-5]% at the EEA level, with an increment in market share of [0-5]% and [0-5]% respectively for Hitachi's assets. Among the operators active in this market, the notifying party estimated the market shares of operators Trane and Daikin to be between [5-10]% and [10-20]%, respectively, at the EEA level and at the national level.</w:t>
      </w:r>
    </w:p>
    <w:p>
      <w:r>
        <w:t>20. Therefore, the operation is not likely to harm competition in the relevant air conditioning markets.</w:t>
      </w:r>
    </w:p>
    <w:p>
      <w:r>
        <w:t>DECIDES</w:t>
      </w:r>
    </w:p>
    <w:p>
      <w:r>
        <w:t>Sole Article: The operation notified under number 15-042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