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https://www.autoritedelaconcurrence.fr/fr/decision-de-controle-des-concentrations/relative-la-prise-de-controle-exclusif-de-certains-actifs-6</w:t>
      </w:r>
    </w:p>
    <w:p>
      <w:r>
        <w:t>Pages translated : 6</w:t>
      </w:r>
    </w:p>
    <w:p/>
    <w:p>
      <w:r>
        <w:rPr>
          <w:b/>
        </w:rPr>
        <w:t>[Pages 1–3]</w:t>
      </w:r>
    </w:p>
    <w:p>
      <w:r>
        <w:t>FRENCH REPUBLIC</w:t>
        <w:br/>
        <w:t>Decision No. 17-DCC-68 of May 31, 2017</w:t>
        <w:br/>
        <w:t>regarding the exclusive control of certain real estate assets of the interdepartmental public housing office of Essonne, Val-d'Oise, and Yvelines (OPIEVOY) by Action Logement</w:t>
        <w:br/>
        <w:t>The Competition Authority,</w:t>
        <w:br/>
        <w:t>Having regard to the notification file submitted in full to the merger service on May 10, 2017, concerning the exclusive control of certain real estate assets of the interdepartmental public housing office of Essonne, Val-d'Oise, and Yvelines ("OPIEVOY") by Action Logement, formalized by a partial asset contribution agreement dated November 28, 2016, and by a memorandum of understanding dated December 21, 2016;</w:t>
        <w:br/>
        <w:t>Having regard to Book IV of the Commercial Code relating to price freedom and competition, and in particular Articles L. 430-1 to L. 430-7;</w:t>
        <w:br/>
        <w:t>Having regard to the elements provided by the notifying party during the investigation;</w:t>
        <w:br/>
        <w:t>Adopts the following decision:</w:t>
        <w:br/>
        <w:t>I. The concerned companies and the operation</w:t>
        <w:br/>
        <w:t>1. Action Logement is an association governed by the 1901 law that collects and manages employer contributions to the construction effort established in 1953 (hereinafter "PEEC"), under Article L. 313-1 of the Construction and Housing Code (hereinafter "CCH")1. Action Logement has two main missions. On the one hand, it participates in the financing and construction of social and intermediate housing (both regulated and unregulated) as part of the housing policy implemented by public authorities2. On the other hand, it offers support services to private sector employees to facilitate their residential and professional mobility.</w:t>
        <w:br/>
        <w:t>2. Until 2016, OPIEVOY was the only interdepartmental public housing office (OPH) in France and operated in the departments of Essonne, Val-d'Oise, and Yvelines. Its real estate portfolio consisted of 50,000 housing units spread across the Île-de-France region, except for the city of Paris. Law No. 2014-366 of March 24, 2014, known as the "ALUR" law, decreed the abolition of interdepartmental OPHs as of January 1, 2017, and the possibility of attaching OPIEVOY to the Île-de-France Region or the relevant departmental councils. Since these local authorities did not wish to take over the housing stock located within their administrative jurisdiction3, the dissolution of OPIEVOY by a decree dated December 27, 20164 required the involvement of a third-party operator in the absence of departmental OPHs to which these housing units could have been attached.</w:t>
        <w:br/>
        <w:t>3. The target real estate assets of the operation correspond to 28,491 housing units from the real estate portfolio of the former OPIEVOY located in the departments of Essonne and Yvelines.</w:t>
        <w:br/>
        <w:t>4. Under Article 3 of the aforementioned decree, and in accordance with the partial asset contribution agreement concluded on November 28, 2016, between the public housing company of the Paris agglomeration (SAHLMAP)5 and OPIEVOY, the shares of SAHLMAP allocated to OPIEVOY in exchange for the contribution of its housing assets in the territories of the departments of Essonne (43%) and Yvelines (55.3%) were immediately allocated to these two departments in proportion to the real estate portfolio located in each department. This company controlled by these two departments has been renamed "Les Résidences SAHLM."</w:t>
        <w:br/>
        <w:t>5. The takeover by Action Logement Immobilier ("ALI") of the target real estate assets of the former OPIEVOY currently held by the company Les Résidences SAHLM will occur through a merger-absorption of this company by France Habitation ESH, a subsidiary of ALI, which is itself a subsidiary of Action Logement. Prior to this, the entire portfolio of the company Les Résidences SAHLM will have been transferred to a dedicated subsidiary [confidential]. A shareholders' agreement is expected to be concluded between the concerned departments and Action Logement based on Article L. 422-2-1-II of the CCH ("Borloo agreement") which does not undermine the exclusive control of the Action Logement group over the company [confidential] as a reference shareholder, within the meaning of the CCH.</w:t>
        <w:br/>
        <w:t>6. Insofar as it results in the exclusive control of certain real estate assets of the former OPIEVOY by Action Logement, the notified operation constitutes a concentration within the meaning of Article L. 430-1 of the Commercial Code.</w:t>
        <w:br/>
        <w:t>7. The concerned companies together achieve a total turnover excluding taxes on a global scale of more than 150 million euros (Action Logement: 8.27 billion euros for the fiscal year ending December 31, 20156; target real estate assets: 130.8 million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Relevant Markets</w:t>
        <w:br/>
        <w:t>A. THE SERVICE MARKET</w:t>
        <w:br/>
        <w:t>8. National8 and European9 competition authorities have considered different segmentations in the real estate services sector according to:</w:t>
        <w:br/>
        <w:t>(i) the recipients of the services: the properties being intended either for individuals (the concerned buildings being for residential use), or for businesses (the concerned buildings being for commercial or professional use);</w:t>
        <w:br/>
        <w:t>(ii) the pricing method: between free residential real estate and social or intermediate housing10;</w:t>
        <w:br/>
        <w:t>(iii) the type of activity carried out in the premises: offices, commercial premises, and other activity premises such as warehouses or hotels; and</w:t>
        <w:br/>
        <w:t>(iv) the nature of the services or goods offered, further segmenting into the following services:</w:t>
        <w:br/>
        <w:t>i. real estate promotion which includes construction and sale activities of real estate;</w:t>
        <w:br/>
        <w:t>ii. management of real estate assets for one's own account;</w:t>
        <w:br/>
        <w:t>iii. management of real estate assets for third parties (institutional investors, mainly banks and insurance companies) which covers consulting and management of real estate portfolios (arbitration and asset valuation), structuring of investment operations;</w:t>
        <w:br/>
        <w:t>7 The company Les Résidences SAHLM served as a receptacle for the target assets after having been previously emptied of its assets. It therefore has no own turnover. The turnover taken into account corresponds to the amount of rents received in 2015 by the target assets of OPIEVOY transferred in accordance with point 23 of the guidelines of the Competition Authority of July 10, 2013, relating to the control of concentrations.</w:t>
        <w:br/>
        <w:t>8 See in particular the decisions of the Competition Authority No. 09-DCC-16 of June 22, 2009, regarding the merger between the Caisse d’Épargne and Banque Populaire groups, No. 15-DCC-156 of December 7, 2015, regarding the joint control of a real estate asset for office use by Sogecap and Prédica, No. 14-DCC-46 of April 1, 2014, regarding the joint control of an industrial real estate asset in Moselle by Norges Bank and Prologis, as well as decision C2008-79 / letter from the Minister of Economy, Industry and Employment of August 22, 2008, to the boards of the companies CDC and Eurosic, regarding a concentration in the real estate sector, BOCCRF No. 8 bis of October 23, 2008.</w:t>
        <w:br/>
        <w:t>9 See the decisions of the European Commission COMP/M.2110 Deutsche Bank / SEI / JV of September 25, 2000, No. IV/M.2825 Fortis AG SA / Bernheim-Comofi SA of July 9, 2002, and COMP/M.3370 BNP Paribas/ARI of March 9, 2004.</w:t>
        <w:br/>
        <w:t>10 See, for example, the decision of the Competition Authority No. 16-DCC-66 of May 4, 2016, regarding the exclusive control of the Edouard Denis Group by the Nexity Group.</w:t>
      </w:r>
    </w:p>
    <w:p>
      <w:r>
        <w:rPr>
          <w:b/>
        </w:rPr>
        <w:t>[Pages 4–6]</w:t>
      </w:r>
    </w:p>
    <w:p>
      <w:r>
        <w:t>real estate and the management of real estate assets and specialized investment vehicles (notably real estate civil companies);</w:t>
        <w:br/>
        <w:t>iv. the administration of real estate, which covers the activities of managing buildings on behalf of owners and can be segmented between rental management and co-ownership management;</w:t>
        <w:br/>
        <w:t>v. real estate appraisal;</w:t>
        <w:br/>
        <w:t>vi. real estate consulting; and</w:t>
        <w:br/>
        <w:t>vii. brokerage in real estate transactions, for which brokerage in purchase/sale operations is distinguished from brokerage in rental operations.</w:t>
        <w:br/>
        <w:t>9. Within the management of residential real estate assets, the Minister of Economy considered it appropriate to distinguish "the management of social housing, insofar as this activity evolves within a specific regulatory framework, through which the State plays an important role, both in terms of financial aid and the allocation of housing"11.</w:t>
        <w:br/>
        <w:t>10. The management of the social rental stock is indeed regulated by the State through agreements concluded with organizations providing low-rent housing12 (known as "APL agreements"). These companies, classified as social housing organizations (OLS), are subject to the control of the National Agency for the Control of Social Housing (ANCOLS)13. There are 755 social landlords (or "HLM organizations") in France, which are divided into three categories: (i) 275 OPH created and managed by local authorities (municipalities, intermunicipalities, departments)14, (ii) 278 social housing companies (ESH) of private non-profit law15, of which 72 belong to the Action Logement group, and (iii) 168 low-rent housing cooperatives16.</w:t>
        <w:br/>
        <w:t>11. The main characteristic of the social rental stock is to offer targeted populations, subject to income conditions17, housing at rents significantly lower than those practiced in the private rental stock18, the allocation of which is decided by an allocation commission.</w:t>
        <w:br/>
        <w:t>12. The Minister of Economy also considered distinguishing social housing from intermediate rental housing on the grounds that "intermediate rental housing presents economic characteristics comparable to those of social housing, the main difference being the absence of regulations imposing income ceilings or rent limitations. Such constraints do exist, but they result from 'reservation agreements' most often concluded for long durations, ranging from 9 to 15 years, with reservists (local or national public administrations, national companies), for the benefit of their civil servants or permanent agents"19.</w:t>
        <w:br/>
        <w:t>13. In this case, the real estate portfolio concerned of the former OPIEVOY is almost exclusively composed of social housing20. Consequently, the competitive analysis will be conducted on the segment of "social rental housing" within the market for the management of residential real estate assets for one's own account.</w:t>
        <w:br/>
        <w:t>14. The question of the exact delimitation of the market can therefore be left open, with the conclusions of the competitive analysis remaining unchanged regardless of the delimitations retained.</w:t>
        <w:br/>
        <w:t>B. THE GEOGRAPHIC MARKET</w:t>
        <w:br/>
        <w:t>15. Decision-making practice21 considers that markets related to the real estate sector can be of a local dimension, given the existing differences between regions or regional metropolises in terms of prices and real estate demand. However, the analysis has been conducted at the national level for real estate services aimed at businesses when operations were carried out by groups of national scope following a territorial network strategy22.</w:t>
        <w:br/>
        <w:t>16. Regarding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analysis"23. For other regions, competitive analyses have been conducted at the regional or sub-regional levels.</w:t>
        <w:br/>
        <w:t>17. In this case, the activities of the parties overlap only in the Île-de-France region where the competitive analysis will be conducted.</w:t>
        <w:br/>
        <w:t>19 C2006-151 / Letter from the Minister of Economy, Finance and Industry dated January 10, 2007, to the board of the Société Nationale Immobilière group, regarding a concentration in the sector of development and management of real estate primarily for residential purposes, BOCCRF No. 3bis of March 23, 2007.</w:t>
        <w:br/>
        <w:t>20 Non-conventional housing of the target assets represents 1% of the target rental stock (285 housing units).</w:t>
        <w:br/>
        <w:t>21 See in particular decision No. 09-DCC-16 cited above, decision C2005-108 / letter from the Minister of Economy, Finance and Industry dated November 25, 2005, to the board of the Foncière des Régions company regarding a concentration in the real estate sector, BOCCRF No. 6 bis of June 21, 2006, and decision COMP/M. 2825 cited above.</w:t>
        <w:br/>
        <w:t>22 See decision No. 16-DCC-66 cited above, point 10.</w:t>
        <w:br/>
        <w:t>23 See letter C2006-151 cited above.</w:t>
        <w:br/>
        <w:t>5</w:t>
      </w:r>
    </w:p>
    <w:p>
      <w:r>
        <w:t>III. Competitive Analysis</w:t>
        <w:br/>
        <w:t>18. As of January 1, 2016, the social rental stock in the Île-de-France region represented 1,245,000 housing units24. At that date, Action Logement Immobilier and the target assets managed 240,629 housing units and 28,206 housing units, respectively, representing market shares of 19.3% and 2.2%. The market shares of the parties are substantially equivalent in value (rents received).</w:t>
        <w:br/>
        <w:t>19. Following the operation, Action Logement will thus hold a market share of 21.5% in the Île-de-France market for the management of residential real estate assets of the type "social rental housing" for its own account, the increment related to the operation being limited to 2.2 points. Action Logement will also face competition from numerous public and private players in this market segment regulated by public authorities25.</w:t>
        <w:br/>
        <w:t>20. In light of the above, the operation is not likely to harm competition.</w:t>
        <w:br/>
        <w:t>DECIDES</w:t>
        <w:br/>
        <w:t>Single Article: The operation notified under number 17-020 is authorized.</w:t>
        <w:br/>
        <w:t>The President,</w:t>
        <w:br/>
        <w:t>Isabelle de Silva</w:t>
        <w:br/>
        <w:t> Competition Authority</w:t>
        <w:br/>
        <w:t>24 See the directory of the social rental stock (RPLS) published in February 2017 by the Regional and Interdepartmental Directorate of Equipment and Development of Île-de-France, available at the following address: http://www.driea.ile-de-france.developpement-durable.gouv.fr/IMG/pdf/parc_locatif-2017-1.pdf</w:t>
        <w:br/>
        <w:t>25 According to the RPLS, the social rental stock in Île-de-France is managed 51% by ESH, 40% by OPH, and 9% by other managers, mainly mixed-economy companies.</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