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https://www.autoritedelaconcurrence.fr/fr/decision-de-controle-des-concentrations/relative-la-prise-de-controle-exclusif-de-certains-actifs-7</w:t>
      </w:r>
    </w:p>
    <w:p>
      <w:r>
        <w:t>Pages translated : 2</w:t>
      </w:r>
    </w:p>
    <w:p/>
    <w:p>
      <w:r>
        <w:rPr>
          <w:b/>
        </w:rPr>
        <w:t>[Pages 1–2]</w:t>
      </w:r>
    </w:p>
    <w:p>
      <w:r>
        <w:t xml:space="preserve">FRENCH REPUBLIC  </w:t>
        <w:br/>
        <w:t xml:space="preserve">Decision No. 19-DCC-27 of February 18, 2019  </w:t>
        <w:br/>
        <w:t xml:space="preserve">regarding the exclusive control acquisition of certain assets of the Maranatha group by Colony Capital  </w:t>
        <w:br/>
        <w:t xml:space="preserve">The Competition Authority,  </w:t>
        <w:br/>
        <w:t xml:space="preserve">Having regard to the complete notification file sent to the mergers department on January 22, 2019,  </w:t>
        <w:br/>
        <w:t xml:space="preserve">concerning the exclusive control acquisition of Maranatha Gestion Hôtelière SAS, Financière Hôtel du Roy 1, and other assets of the Maranatha group (hereinafter, "Maranatha") by Colony Capital, formalized by an improved takeover offer submitted on September 12, 2018, to the Commercial Court of Marseille and by a transfer judgment from the Commercial Court of Marseille dated October 17, 2018;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certain assets of the Maranatha group by Colony Capital. It constitutes a concentration within the meaning of Article L. 430-1 of the Commercial Code. Given the turnover achieved by the companies concerned, the notification thresholds of Article 1 paragraph 2 of Regulation (EC) 139/2004 are not exceeded. The operation therefore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2. The markets concerned by the operation are those of the provision of hotel accommodation services and hotel management services, which are consistently defined by the decision-making practice of the Competition Authority.  </w:t>
        <w:br/>
        <w:t xml:space="preserve">3. Regardless of the segmentations retained, the combined market shares of the parties are below 25%.  </w:t>
        <w:br/>
        <w:t>4. Considering the elements of the file and in particular point 384 of the guidelines of the Competition Authority relating to the control of concentrations, the operation is not likely to harm competition.</w:t>
      </w:r>
    </w:p>
    <w:p>
      <w:r>
        <w:t xml:space="preserve">DECIDES  </w:t>
        <w:br/>
        <w:t xml:space="preserve">Sole Article: The operation notified under number 18-283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