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https://www.autoritedelaconcurrence.fr/fr/decision-de-controle-des-concentrations/relative-la-prise-de-controle-exclusif-de-certains-actifs-8</w:t>
      </w:r>
    </w:p>
    <w:p>
      <w:r>
        <w:t>Pages translated : 7</w:t>
      </w:r>
    </w:p>
    <w:p/>
    <w:p>
      <w:r>
        <w:rPr>
          <w:b/>
        </w:rPr>
        <w:t>[Pages 1–3]</w:t>
      </w:r>
    </w:p>
    <w:p>
      <w:r>
        <w:t xml:space="preserve">FRENCH REPUBLIC  </w:t>
        <w:br/>
        <w:t xml:space="preserve">Decision No. 19-DCC-241 of December 13, 2019  </w:t>
        <w:br/>
        <w:t xml:space="preserve">regarding the exclusive control of certain assets and activities of the  </w:t>
        <w:br/>
        <w:t>Clarins group by the L’Oréal group</w:t>
      </w:r>
    </w:p>
    <w:p>
      <w:r>
        <w:t xml:space="preserve">The Competition Authority,  </w:t>
        <w:br/>
        <w:t xml:space="preserve">Having regard to the notification file submitted in full to the merger service on  </w:t>
        <w:br/>
        <w:t xml:space="preserve">November 14, 2019, regarding the exclusive control of certain assets and activities of the  </w:t>
        <w:br/>
        <w:t xml:space="preserve">Clarins group by the L’Oréal group, formalized by a framework agreement regarding the  </w:t>
        <w:br/>
        <w:t xml:space="preserve">acquisition of Clarins' Perfume business by L’Oréal SA dated October 21, 2019;  </w:t>
        <w:br/>
        <w:t xml:space="preserve">Having regard to Book IV of the Commercial Code relating to the freedom of prices and  </w:t>
        <w:br/>
        <w:t xml:space="preserve">competition, and in particular its Articles L. 430-1 to L. 430-7;  </w:t>
        <w:br/>
        <w:t>Adopts the following decision:</w:t>
      </w:r>
    </w:p>
    <w:p>
      <w:r>
        <w:t xml:space="preserve">I. The companies concerned and the operation  </w:t>
        <w:br/>
        <w:t xml:space="preserve">1. The company L’Oréal S.A., whose shareholders are Mrs. Françoise Bettencourt Meyers and  </w:t>
        <w:br/>
        <w:t xml:space="preserve">her family, international institutional investors, and the Nestlé group, is the parent company of  </w:t>
        <w:br/>
        <w:t xml:space="preserve">the L’Oréal group. The company L’Oréal S.A. is not controlled. L’Oréal is a French group  </w:t>
        <w:br/>
        <w:t xml:space="preserve">operating internationally, notably active in the production and distribution of cosmetic products.  </w:t>
        <w:br/>
        <w:t xml:space="preserve">Its product range is organized around four divisions: (i) luxury products, notably under the  </w:t>
        <w:br/>
        <w:t xml:space="preserve">brands Lancôme, Giorgio Armani, and Yves Saint Laurent, distributed within selective  </w:t>
        <w:br/>
        <w:t xml:space="preserve">distribution networks, (ii) mass-market products, notably under the brands L’Oréal Paris and  </w:t>
        <w:br/>
        <w:t xml:space="preserve">Maybelline, distributed in large retail channels, (iii) professional products, notably the  </w:t>
        <w:br/>
        <w:t xml:space="preserve">Kérastase brand, distributed in hair salons, and (iv) dermo-cosmetic products, notably under  </w:t>
        <w:br/>
        <w:t xml:space="preserve">the brands Vichy or La Roche-Posay, distributed in health channels.  </w:t>
        <w:br/>
        <w:t xml:space="preserve">2. The target consists of various companies belonging to the Clarins group (hereinafter "the  </w:t>
        <w:br/>
        <w:t xml:space="preserve">target companies"), some of which were created for the purpose of the operation. It is active in  </w:t>
        <w:br/>
        <w:t xml:space="preserve">the sector of supplying women's and men's perfumes sold under the brands Azzaro (such as  </w:t>
        <w:br/>
        <w:t xml:space="preserve">Azzaro, Wanted, or Chrome perfumes) and Thierry Mugler (such as Angel or Alien perfumes)  </w:t>
        <w:br/>
        <w:t>and derivative products of these perfumes (deodorants, creams, etc.) distributed</w:t>
      </w:r>
    </w:p>
    <w:p>
      <w:r>
        <w:t xml:space="preserve">mainly within selective distribution networks in France and abroad. The target companies also  </w:t>
        <w:br/>
        <w:t xml:space="preserve">have a ready-to-wear activity under the Thierry Mugler brand.  </w:t>
        <w:br/>
        <w:t xml:space="preserve">3. The operation, formalized by a framework agreement regarding the acquisition of Clarins'  </w:t>
        <w:br/>
        <w:t xml:space="preserve">Perfume business by L’Oréal SA dated October 21, 2019, involves the acquisition by L’Oréal  </w:t>
        <w:br/>
        <w:t xml:space="preserve">S.A. of 100% of the capital and voting rights of the target companies. As it results in the  </w:t>
        <w:br/>
        <w:t xml:space="preserve">exclusive control of the target companies by the L'Oréal group, the operation constitutes a  </w:t>
        <w:br/>
        <w:t xml:space="preserve">concentration within the meaning of Article L. 430-1 of the Commercial Code.  </w:t>
        <w:br/>
        <w:t xml:space="preserve">4. The companies concerned together achieve a total worldwide turnover excluding taxes of  </w:t>
        <w:br/>
        <w:t xml:space="preserve">more than 150 million euros (L'Oréal group: 26.9 billion euros for the fiscal year ending  </w:t>
        <w:br/>
        <w:t xml:space="preserve">December 31, 2018; target assets: [≥ 150 million] euros for the fiscal year ending December  </w:t>
        <w:br/>
        <w:t xml:space="preserve">31, 2018). Each of these companies has achieved in France a turnover exceeding 50 million  </w:t>
        <w:br/>
        <w:t xml:space="preserve">euros (L'Oréal group: [≥ 50 million] euros for the fiscal year ending December 31, 2018;  </w:t>
        <w:br/>
        <w:t xml:space="preserve">target assets: [≥ 50 million] euros for the fiscal year ending December 31, 2018). Given these  </w:t>
        <w:br/>
        <w:t xml:space="preserve">turnover figures, the operation does not fall under the jurisdiction of the European Union.  </w:t>
        <w:br/>
        <w:t xml:space="preserve">However, the control thresholds mentioned in I of Article L. 430-2 of the Commercial Code  </w:t>
        <w:br/>
        <w:t xml:space="preserve">are exceeded. This operation is therefore subject to the provisions of Articles L. 430-3 and  </w:t>
        <w:br/>
        <w:t>following of the Commercial Code relating to economic concentrations.</w:t>
      </w:r>
    </w:p>
    <w:p>
      <w:r>
        <w:t xml:space="preserve">II. Delimitation of the relevant markets  </w:t>
        <w:br/>
        <w:t xml:space="preserve">5. The parties are active in the sector of supplying perfumes and cosmetic products. This  </w:t>
        <w:br/>
        <w:t xml:space="preserve">sector has been analyzed several times by the competition authorities, which have retained a  </w:t>
        <w:br/>
        <w:t xml:space="preserve">dual segmentation of the market based on the distribution channel and the intended use of the  </w:t>
        <w:br/>
        <w:t>products.</w:t>
      </w:r>
    </w:p>
    <w:p>
      <w:r>
        <w:t xml:space="preserve">A. PRODUCT MARKETS  </w:t>
        <w:br/>
        <w:t xml:space="preserve">a) Segmentation by distribution channel  </w:t>
        <w:br/>
        <w:t xml:space="preserve">6. Regarding segmentation by distribution channel, while leaving the question open, the  </w:t>
        <w:br/>
        <w:t xml:space="preserve">competition authorities have established a distinction between products intended to be marketed  </w:t>
        <w:br/>
        <w:t xml:space="preserve">within selective distribution networks (perfumeries and department stores) which are usually  </w:t>
        <w:br/>
        <w:t xml:space="preserve">referred to as "luxury" products, those intended to be sold within specialized networks (pharmacy  </w:t>
        <w:br/>
        <w:t xml:space="preserve">and parapharmacy), and products intended to be sold in mass retail which can be referred to as  </w:t>
        <w:br/>
        <w:t>"mass," "consumer," or "ordinary" cosmetic products.</w:t>
      </w:r>
    </w:p>
    <w:p>
      <w:r>
        <w:t xml:space="preserve">7. The decisional practice specifies that the selective distribution market for luxury perfumes and  </w:t>
        <w:br/>
        <w:t xml:space="preserve">cosmetics is distinct from the retail sale of "ordinary" perfumery and cosmetic products, which  </w:t>
        <w:br/>
        <w:t xml:space="preserve">does not require the same standards in terms of listing, presentation, and environment. These  </w:t>
        <w:br/>
        <w:t xml:space="preserve">products are available in a much more diverse network of sales outlets, particularly within large  </w:t>
        <w:br/>
        <w:t xml:space="preserve">food retail stores. Furthermore, the Commission has already noted that operators of selective  </w:t>
        <w:br/>
        <w:t xml:space="preserve">distribution overwhelmingly claim to set the prices of luxury products without considering the  </w:t>
        <w:br/>
        <w:t>prices of mass-market products.</w:t>
      </w:r>
    </w:p>
    <w:p>
      <w:r>
        <w:t xml:space="preserve">8. Moreover, the decisional practice distinguishes within the distribution of luxury perfumes and  </w:t>
        <w:br/>
        <w:t xml:space="preserve">cosmetics the selective distribution networks from the duty-free store channel located mainly in  </w:t>
        <w:br/>
        <w:t>airports (or travel retail).</w:t>
      </w:r>
    </w:p>
    <w:p>
      <w:r>
        <w:t xml:space="preserve">9. In this case, the parties are simultaneously active in the distribution of luxury products through  </w:t>
        <w:br/>
        <w:t xml:space="preserve">selective distribution networks and duty-free stores. L'Oréal is also active in the distribution of  </w:t>
        <w:br/>
        <w:t>mass-market products.</w:t>
      </w:r>
    </w:p>
    <w:p>
      <w:r>
        <w:t xml:space="preserve">b) Segmentation by product type  </w:t>
        <w:br/>
        <w:t xml:space="preserve">10. The competition authorities, while leaving the question open, have segmented the sector of  </w:t>
        <w:br/>
        <w:t xml:space="preserve">supplying perfumes and cosmetics into ten markets: (i) hair products, (ii) makeup, (iii) sun care  </w:t>
        <w:br/>
        <w:t xml:space="preserve">products, (iv) facial care products, (v) body care products, (vi) hand care products, (vii)  </w:t>
        <w:br/>
        <w:t xml:space="preserve">toiletries, (viii) men's care products, (ix) deodorants, (x) perfumes. Some of these markets have  </w:t>
        <w:br/>
        <w:t xml:space="preserve">also been further sub-segmented, for example based on the use of the products concerned or the  </w:t>
        <w:br/>
        <w:t>user.</w:t>
      </w:r>
    </w:p>
    <w:p>
      <w:r>
        <w:t xml:space="preserve">11. In this case, the activities of the parties overlap on the following products:  </w:t>
        <w:br/>
        <w:t xml:space="preserve">• hair products;  </w:t>
        <w:br/>
        <w:t xml:space="preserve">• facial care products;  </w:t>
        <w:br/>
        <w:t xml:space="preserve">• body care products;  </w:t>
        <w:br/>
        <w:t xml:space="preserve">• hand care products;  </w:t>
        <w:br/>
        <w:t xml:space="preserve">• toiletries, which can be sub-segmented based on use (bath or shower);  </w:t>
        <w:br/>
        <w:t xml:space="preserve">• men's care products;  </w:t>
        <w:br/>
        <w:t xml:space="preserve">• deodorants, which can be sub-segmented based on the user (male or female);  </w:t>
        <w:br/>
        <w:t>• perfumes, which can be sub-segmented based on the user (male or female).</w:t>
      </w:r>
    </w:p>
    <w:p>
      <w:r>
        <w:rPr>
          <w:b/>
        </w:rPr>
        <w:t>[Pages 4–6]</w:t>
      </w:r>
    </w:p>
    <w:p>
      <w:r>
        <w:t>congloméraux.</w:t>
      </w:r>
    </w:p>
    <w:p>
      <w:r>
        <w:t>37. En ce qui concerne les effets congloméraux potentiels entre les marchés de la distribution de produits cosmétiques de luxe et ceux de la distribution de produits cosmétiques grand public, il convient de noter que la part de marché de la nouvelle entité sur ces marchés ne dépasse pas 30 %. Par conséquent, les risques d’effets congloméraux sont écartés.</w:t>
      </w:r>
    </w:p>
    <w:p>
      <w:r>
        <w:t>38. En conclusion, l’opération n’est pas susceptible de porter atteinte à la concurrence sur les marchés concernés, que ce soit par des effets horizontaux ou congloméraux.</w:t>
      </w:r>
    </w:p>
    <w:p>
      <w:r>
        <w:rPr>
          <w:b/>
        </w:rPr>
        <w:t>[Pages 7–7]</w:t>
      </w:r>
    </w:p>
    <w:p>
      <w:r>
        <w:t xml:space="preserve">conglomerate effects between the market for the supply of cosmetic products intended for the general public and that for the supply of luxury cosmetic products to selective distribution networks.  </w:t>
        <w:br/>
        <w:t xml:space="preserve">37. As for the other markets concerned by the operation, the market shares of the new entity will systematically remain below 30% in the market for the supply of luxury cosmetic products through selective distribution brands, regardless of the segment considered.  </w:t>
        <w:br/>
        <w:t xml:space="preserve">38. Regarding the distribution of luxury cosmetic products by duty-free stores, following the operation, the market share of the new entity will be below 25%, with the combined market share resulting from the operation systematically being below 2%, regardless of the segmentation considered.  </w:t>
        <w:br/>
        <w:t xml:space="preserve">39. Consequently, the operation is not likely to harm competition through conglomerate effects between the different segments of the selective distribution market for luxury products or between the market for the distribution of luxury cosmetic products by selective distribution brands on the one hand, and by duty-free stores on the other hand.  </w:t>
        <w:br/>
        <w:t xml:space="preserve">DECIDES  </w:t>
        <w:br/>
        <w:t xml:space="preserve">Sole Article: The operation notified under number 19-243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