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https://www.autoritedelaconcurrence.fr/fr/decision-de-controle-des-concentrations/relative-la-prise-de-controle-exclusif-de-certains-actifs-9</w:t>
      </w:r>
    </w:p>
    <w:p>
      <w:r>
        <w:t>Pages translated : 2</w:t>
      </w:r>
    </w:p>
    <w:p/>
    <w:p>
      <w:r>
        <w:rPr>
          <w:b/>
        </w:rPr>
        <w:t>[Pages 1–2]</w:t>
      </w:r>
    </w:p>
    <w:p>
      <w:r>
        <w:t xml:space="preserve">FRENCH REPUBLIC  </w:t>
        <w:br/>
        <w:t xml:space="preserve">Decision No. 20-DCC-193 of December 24, 2020  </w:t>
        <w:br/>
        <w:t xml:space="preserve">regarding the exclusive control acquisition of certain assets of the Courtepaille group by the company Antelope Acquisitions 2  </w:t>
        <w:br/>
        <w:t xml:space="preserve">The Competition Authority,  </w:t>
        <w:br/>
        <w:t xml:space="preserve">Having regard to the notification file sent to the mergers department on August 20, 2020, declared complete on December 7, 2020, concerning the joint control acquisition of certain assets of the Courtepaille group and the shares of the company École de Service et de Restauration Commerciale ("ESRC") by the company Antelope 2, formalized by the takeover offer dated September 9, 2020, and the judgments of the commercial court of Évry dated September 25, 2020;  </w:t>
        <w:br/>
        <w:t xml:space="preserve">Having regard to Book IV of the Commercial Code relating to the freedom of prices and competition, and in particular its Articles L. 430-1 to L. 430-7;  </w:t>
        <w:br/>
        <w:t xml:space="preserve">Having regard to the elements transmitted by the notifying party during the investigation;  </w:t>
        <w:br/>
        <w:t xml:space="preserve">Adopts the following decision:  </w:t>
        <w:br/>
        <w:t xml:space="preserve">1. The notified operation consists of the exclusive control acquisition by the company Antelope Acquisitions 2, holding of the Buffalo Grill group, of certain assets of the Courtepaille group, including 237 restaurants under the Courtepaille brand present throughout the metropolitan territory and in Corsica. The Courtepaille group is active in the market for the supply of food products and the downstream markets of traditional restaurant services with table service and motorway catering. This operation constitutes a concentration within the meaning of Article L. 430-1 of the Commercial Code. Given the revenues generated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20-164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