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https://www.autoritedelaconcurrence.fr/fr/decision-de-controle-des-concentrations/relative-la-prise-de-controle-exclusif-de-certains-elements</w:t>
      </w:r>
    </w:p>
    <w:p>
      <w:r>
        <w:t>Pages translated : 2</w:t>
      </w:r>
    </w:p>
    <w:p/>
    <w:p>
      <w:r>
        <w:rPr>
          <w:b/>
        </w:rPr>
        <w:t>[Pages 1–2]</w:t>
      </w:r>
    </w:p>
    <w:p>
      <w:r>
        <w:t xml:space="preserve">FRENCH REPUBLIC  </w:t>
        <w:br/>
        <w:t xml:space="preserve">Decision No. 19-DCC-206 of November 8, 2019  </w:t>
        <w:br/>
        <w:t xml:space="preserve">regarding the exclusive control acquisition of certain business assets of the companies Relais de Champagne and Relais de l’Automobile by the company Holding Tuppin Mary  </w:t>
        <w:br/>
        <w:t xml:space="preserve">The Competition Authority,  </w:t>
        <w:br/>
        <w:t xml:space="preserve">Having regard to the notification file sent to the mergers department on September 19, 2019, declared complete on October 18, 2019, concerning the exclusive control acquisition of certain business assets of the companies Relais de Champagne and Relais de l’Automobile by the company Holding Tuppin Mary, and materialized by two sales agreements dated July 31, 2019;  </w:t>
        <w:br/>
        <w:t xml:space="preserve">Having regard to Book IV of the Commercial Code relating to the freedom of prices and competition, and in particular its Articles L. 430-1 to L. 430-7;  </w:t>
        <w:br/>
        <w:t xml:space="preserve">Having regard to the supplementary elements transmitted during the investigation;  </w:t>
        <w:br/>
        <w:t xml:space="preserve">Adopts the following decision:  </w:t>
        <w:br/>
        <w:t xml:space="preserve">1. The notified operation consists of the exclusive control acquisition, by the company Holding Tuppin Mary, of certain elements of the business assets of the companies Relais de Champagne and Relais de l’Automobile which operate four dealerships under the Opel brand, located in Aisne (02). The operation constitutes a concentration operation within the meaning of Article L. 430-1 of the Commercial Code. Given the turnover achieved by the companies involved, the operation does not fall under the jurisdiction of the European Union. On the other hand, the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19-236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