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https://www.autoritedelaconcurrence.fr/fr/decision-de-controle-des-concentrations/relative-la-prise-de-controle-exclusif-de-ciblex-par</w:t>
      </w:r>
    </w:p>
    <w:p>
      <w:r>
        <w:t>Pages translated : 5</w:t>
      </w:r>
    </w:p>
    <w:p/>
    <w:p>
      <w:r>
        <w:rPr>
          <w:b/>
        </w:rPr>
        <w:t>[Pages 1–3]</w:t>
      </w:r>
    </w:p>
    <w:p>
      <w:r>
        <w:t xml:space="preserve">FRENCH REPUBLIC  </w:t>
        <w:br/>
        <w:t xml:space="preserve">Decision No. 14-DCC-105 of July 16, 2014  </w:t>
        <w:br/>
        <w:t xml:space="preserve">regarding the exclusive control of Ciblex by European  </w:t>
        <w:br/>
        <w:t xml:space="preserve">Healthcare Distribution Holding  </w:t>
        <w:br/>
        <w:t xml:space="preserve">The Competition Authority,  </w:t>
        <w:br/>
        <w:t xml:space="preserve">Having regard to the notification file submitted in full to the merger service on June 11, 2014,  </w:t>
        <w:br/>
        <w:t xml:space="preserve">regarding the exclusive control of Ciblex by European Healthcare Distribution Holding formalized by a  </w:t>
        <w:br/>
        <w:t xml:space="preserve">share transfer and acquisition agreement dated May 22, 2014;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European Healthcare Distribution Holding (hereinafter "EHDH") is a company under French law,  </w:t>
        <w:br/>
        <w:t xml:space="preserve">holding of the EHDH group active through the companies Transports Dufour, Eurotranspharma  </w:t>
        <w:br/>
        <w:t xml:space="preserve">(hereinafter "ETP") and Transpharma Belgium SPRL (hereinafter "TPB"), in the sector of  </w:t>
        <w:br/>
        <w:t xml:space="preserve">road freight transport BtoB (between professionals). ETP and TPB are more specifically specialized in  </w:t>
        <w:br/>
        <w:t xml:space="preserve">the road transport of health products. EHDH is held at […] % by Mr. Stéphane Baudry and […] % by  </w:t>
        <w:br/>
        <w:t xml:space="preserve">Mr. [X]. The latter does not hold a veto exceeding the rights usually granted to minority shareholders for  </w:t>
        <w:br/>
        <w:t xml:space="preserve">the protection of their financial interests, Mr. Baudry exercises exclusive control over EHDH.  </w:t>
        <w:br/>
        <w:t xml:space="preserve">2. Ciblex is a company under French law active in the express parcel delivery market BtoB and  </w:t>
        <w:br/>
        <w:t xml:space="preserve">100% owned by Geodis, itself a subsidiary of SNCF Participations, whose capital is held at 99.98% by  </w:t>
        <w:br/>
        <w:t xml:space="preserve">SNCF, the parent company of the SNCF group. Ciblex operates in France, Belgium, Luxembourg, and  </w:t>
        <w:br/>
        <w:t xml:space="preserve">the Netherlands.  </w:t>
        <w:br/>
        <w:t xml:space="preserve">3. Under the share transfer and acquisition agreement dated May 22, 2014, the operation consists of  </w:t>
        <w:br/>
        <w:t xml:space="preserve">EHDH acquiring 100% of the shares and voting rights of Ciblex. As it results in the exclusive control of  </w:t>
        <w:br/>
        <w:t xml:space="preserve">Ciblex by EHDH, the operation constitutes a concentration within the meaning of Article L. 430-1 of the  </w:t>
        <w:br/>
        <w:t>Commercial Code.</w:t>
      </w:r>
    </w:p>
    <w:p>
      <w:r>
        <w:t xml:space="preserve">4. The companies concerned together achieve a total worldwide turnover of more than 150 million euros  </w:t>
        <w:br/>
        <w:t xml:space="preserve">(EHDH: [...] million euros for the fiscal year ending December 31, 2013; Ciblex: [...] million euros for  </w:t>
        <w:br/>
        <w:t xml:space="preserve">the fiscal year ending December 31, 2012). At least two of these companies achieve a turnover in France  </w:t>
        <w:br/>
        <w:t xml:space="preserve">exceeding 50 million euros (EHDH: [...] million euros for the fiscal year ending December 31, 2013,  </w:t>
        <w:br/>
        <w:t xml:space="preserve">Ciblex: [...] million euros for the fiscal year ending December 31, 2012). Given these turnovers, the  </w:t>
        <w:br/>
        <w:t xml:space="preserve">operation does not fall under the jurisdiction of the European Union. However, the control thresholds  </w:t>
        <w:br/>
        <w:t xml:space="preserve">mentioned in I of Article L. 430-2 of the Commercial Code are exceeded. This operation is therefore  </w:t>
        <w:br/>
        <w:t xml:space="preserve">subject to the provisions of Articles L. 430-3 and following of the Commercial Code relating to  </w:t>
        <w:br/>
        <w:t xml:space="preserve">economic concentration.  </w:t>
        <w:br/>
        <w:t xml:space="preserve">II. Definition of relevant markets  </w:t>
        <w:br/>
        <w:t xml:space="preserve">5. The parties are simultaneously present in the markets for road freight transport.  </w:t>
        <w:br/>
        <w:t xml:space="preserve">A. PRODUCT MARKETS  </w:t>
        <w:br/>
        <w:t xml:space="preserve">6. Within road freight transport, several segmentations have been considered by decision-making practice  </w:t>
        <w:br/>
        <w:t xml:space="preserve">according to: (i) the domestic or cross-border nature of the transport1, (ii) the type of offers proposed  </w:t>
        <w:br/>
        <w:t xml:space="preserve">(dedicated transport, full truck transport, groupage or batch transport, and express delivery)2, (iii) the  </w:t>
        <w:br/>
        <w:t xml:space="preserve">nature of the products transported (transport of hazardous materials, transport of temperature-controlled  </w:t>
        <w:br/>
        <w:t xml:space="preserve">products)3 and (iv) the mode of packaging (transport of packaged goods, transport of bulk goods)4.  </w:t>
        <w:br/>
        <w:t xml:space="preserve">7. In this case, only EHDH is present in the market for batch or groupage transport. In contrast, the  </w:t>
        <w:br/>
        <w:t xml:space="preserve">parties are simultaneously present in the express delivery markets.  </w:t>
        <w:br/>
        <w:t xml:space="preserve">8. More specifically regarding express delivery, this activity consists of the transportation of documents or  </w:t>
        <w:br/>
        <w:t xml:space="preserve">parcels weighing less than 3 tons, coming from different shippers and addressed to different  </w:t>
        <w:br/>
        <w:t xml:space="preserve">recipients5. It differs from traditional transport due to intermediate operations of sorting, grouping, and  </w:t>
        <w:br/>
        <w:t xml:space="preserve">ungrouping, which consist of gathering or splitting shipments of goods from several senders to several  </w:t>
        <w:br/>
        <w:t xml:space="preserve">recipients.  </w:t>
        <w:br/>
        <w:t xml:space="preserve">1 See in particular the decision of the Competition Authority 09-DCC-13 of June 16, 2009, regarding the exclusive control of  </w:t>
        <w:br/>
        <w:t xml:space="preserve">Giraud CEE and Giraud Sidérurgie by Geodis.  </w:t>
        <w:br/>
        <w:t xml:space="preserve">2 See in particular the letters from the Minister of Economy C 2006-130 of December 7, 2006, Butler Capital Partners / Sernam and C  </w:t>
        <w:br/>
        <w:t xml:space="preserve">2005-36 of January 6, 2006, regarding a concentration in the refrigerated storage sector, and the decision of the Competition  </w:t>
        <w:br/>
        <w:t xml:space="preserve">Authority 09-DCC-74 of December 14, 2009, regarding the exclusive control of Lovefrance SAS by Groupe Berto.  </w:t>
        <w:br/>
        <w:t xml:space="preserve">3 See the letters from the Minister of Economy, Finance and Industry C 2004-85 of September 2, 2004, regarding a concentration in  </w:t>
        <w:br/>
        <w:t xml:space="preserve">the road transport sector of petroleum products, C 2005-116 of December 9, 2005, regarding a concentration in the road transport  </w:t>
        <w:br/>
        <w:t xml:space="preserve">sector of temperature-controlled goods, and C 2005-36 mentioned above, and the decision of the Competition Authority 11-DCC-33  </w:t>
        <w:br/>
        <w:t xml:space="preserve">of February 24, 2011, regarding the exclusive control of SAS Transports Roger et Cie and the business of Renaud Distribution by  </w:t>
        <w:br/>
        <w:t xml:space="preserve">Transport G Gautier.  </w:t>
        <w:br/>
        <w:t xml:space="preserve">4 See the decision 09-DCC-13 mentioned above and the letter C 2005-110 dated November 29, 2005, regarding a concentration in the  </w:t>
        <w:br/>
        <w:t xml:space="preserve">road freight transport and logistics sectors.  </w:t>
        <w:br/>
        <w:t xml:space="preserve">5 Letter from the Minister of Economy, Finance and Employment C 2007-70 of July 4, 2007, regarding a concentration in the road  </w:t>
        <w:br/>
        <w:t>freight transport sector.</w:t>
      </w:r>
    </w:p>
    <w:p>
      <w:r>
        <w:t xml:space="preserve">9. Within this activity, competition authorities6 operate a segmentation between documents and parcels. The  </w:t>
        <w:br/>
        <w:t xml:space="preserve">parties offer only parcel delivery services, an activity for which different segmentations have been considered.  </w:t>
        <w:br/>
        <w:t xml:space="preserve">Indeed, besides the distinction between national and international delivery7, the Competition Authority  </w:t>
        <w:br/>
        <w:t xml:space="preserve">distinguishes three types of services: traditional delivery (delivery time of 24 to 72 hours within the  </w:t>
        <w:br/>
        <w:t xml:space="preserve">national territory), fast delivery (pickup before 6 PM for delivery in principle the next day before 6 PM  </w:t>
        <w:br/>
        <w:t xml:space="preserve">within the national territory but the times are not guaranteed), and express delivery (pickup before 6 PM  </w:t>
        <w:br/>
        <w:t xml:space="preserve">for delivery the next day before 12 or 1 PM within the national territory with different levels of  </w:t>
        <w:br/>
        <w:t xml:space="preserve">guarantee on the times and a possibility of tracking by the customer)8.  </w:t>
        <w:br/>
        <w:t xml:space="preserve">10. Furthermore, competition authorities9 distinguish between delivery activities from professionals to  </w:t>
        <w:br/>
        <w:t xml:space="preserve">professionals ("BtoB"), from professionals to individuals ("BtoC"), from individuals to professionals  </w:t>
        <w:br/>
        <w:t xml:space="preserve">("CtoB"), and between individuals ("CtoC"). For domestic express delivery of BtoB parcels, several  </w:t>
        <w:br/>
        <w:t xml:space="preserve">segmentations can be considered, depending on the type of parcel (single parcel or multiple parcels10) or  </w:t>
        <w:br/>
        <w:t xml:space="preserve">according to the weight of the parcels (more or less than 30 kg)11.  </w:t>
        <w:br/>
        <w:t xml:space="preserve">11. In this case, the parties simultaneously offer domestic and international express delivery services for  </w:t>
        <w:br/>
        <w:t xml:space="preserve">BtoB parcels. However, EHDH is active in traditional and fast delivery while Ciblex only offers express  </w:t>
        <w:br/>
        <w:t xml:space="preserve">delivery services.  </w:t>
        <w:br/>
        <w:t xml:space="preserve">12. Furthermore, competition authorities have defined specific markets for certain particular products.  </w:t>
        <w:br/>
        <w:t xml:space="preserve">They have particularly noted the existence of markets for road transport of hazardous materials12 and  </w:t>
        <w:br/>
        <w:t xml:space="preserve">road transport of temperature-controlled goods13. In this case, the parties are simultaneously active in  </w:t>
        <w:br/>
        <w:t xml:space="preserve">BtoB express delivery of health products. The parties consider that such activity cannot constitute a  </w:t>
        <w:br/>
        <w:t xml:space="preserve">market for services as it does not have any particular specificity. However, a competitive analysis will be  </w:t>
        <w:br/>
        <w:t xml:space="preserve">conducted on this segment. The question of the segmentation of this market can, however, be left open,  </w:t>
        <w:br/>
        <w:t xml:space="preserve">with the conclusions of the competitive analysis remaining unchanged regardless of the delimitation retained.  </w:t>
        <w:br/>
        <w:t xml:space="preserve">6 See in particular the letter from the Minister of Economy, Finance and Industry C 2006-14 of March 2, 2006, regarding a  </w:t>
        <w:br/>
        <w:t xml:space="preserve">concentration in the express delivery sector and the decisions of the European Commission COMP/M.3925 UPS / LYNX of  </w:t>
        <w:br/>
        <w:t xml:space="preserve">September 23, 2005, and COMP/M.5152 Posten AB/Post Danmark A/S of April 21, 2009.  </w:t>
        <w:br/>
        <w:t xml:space="preserve">7 See the decisions of the Competition Authority 09-DCC-40 of September 4, 2009, regarding Geodis' acquisition of Cool Jet  </w:t>
        <w:br/>
        <w:t xml:space="preserve">commercial agencies and 10-DCC-26 of March 26, 2010, regarding Geodis' acquisition of Ciblex, and the decision of the  </w:t>
        <w:br/>
        <w:t xml:space="preserve">European Commission COMP/M. 1405, TNT Post Group/ JET Services of February 15, 1999.  </w:t>
        <w:br/>
        <w:t xml:space="preserve">8 See in particular the decision of the Commission COMP/M.5152 mentioned above and the decisions of the Authority 09-DCC-40 and  </w:t>
        <w:br/>
        <w:t xml:space="preserve">10-DCC-26 mentioned above.  </w:t>
        <w:br/>
        <w:t xml:space="preserve">9 See in particular the decisions of the Commission COMP/M.1371 La Poste /Denkhaus of February 26, 1999, and COMP/M.5152  </w:t>
        <w:br/>
        <w:t xml:space="preserve">mentioned above, and the decision of the Authority 10-DCC-26 mentioned above.  </w:t>
        <w:br/>
        <w:t xml:space="preserve">10 See in particular the decision of the Commission COMP/M.1371 mentioned above and the letter from the Minister C 2006-14  </w:t>
        <w:br/>
        <w:t xml:space="preserve">mentioned above.  </w:t>
        <w:br/>
        <w:t xml:space="preserve">11 See decision No. 12-DCC-153 of November 12, 2012, regarding the exclusive control of certain assets of Sernam Services SNC by  </w:t>
        <w:br/>
        <w:t xml:space="preserve">Calberson SNC.  </w:t>
        <w:br/>
        <w:t xml:space="preserve">12 Letter from the Minister of State, Minister of Economy, Finance and Industry No. C2004-85 dated September 2, 2004, to the  </w:t>
        <w:br/>
        <w:t xml:space="preserve">counsel of Charles André, regarding a concentration in the road transport sector of petroleum products.  </w:t>
        <w:br/>
        <w:t xml:space="preserve">13 Decision of the Competition Authority No. 11-DCC-79 of May 16, 2011, regarding the joint control of Transcosatal Finances by  </w:t>
        <w:br/>
        <w:t xml:space="preserve">Satar, Chabas, and STEF-TFE Transport. Letter from the Minister of Economy, Finance and Industry No. C2005-36 of January 6,  </w:t>
        <w:br/>
        <w:t>2006, to the counsel of STEF-TFE, regarding a concentration in the refrigerated storage sector.</w:t>
      </w:r>
    </w:p>
    <w:p>
      <w:r>
        <w:rPr>
          <w:b/>
        </w:rPr>
        <w:t>[Pages 4–5]</w:t>
      </w:r>
    </w:p>
    <w:p>
      <w:r>
        <w:t xml:space="preserve">B. GEOGRAPHIC MARKETS  </w:t>
        <w:br/>
        <w:t xml:space="preserve">13. French14 and European15 decision-making practice has considered that the markets for road freight transport generally have a national dimension, even if a trend towards a European dimension is emerging16.  </w:t>
        <w:br/>
        <w:t xml:space="preserve">14. There is no need to challenge this delimitation in the context of the present decision.  </w:t>
        <w:br/>
        <w:t xml:space="preserve">III. Competitive Analysis  </w:t>
        <w:br/>
        <w:t xml:space="preserve">15. The operation will not result in an overlap of activities in the market segmentations of parcel delivery based on the services offered, insofar as EHDH is active in traditional and fast parcel delivery while Ciblex only offers express parcel delivery services.  </w:t>
        <w:br/>
        <w:t xml:space="preserve">16. If considering a segment of BtoB parcel delivery for health products, the parties have not been able to communicate their positioning by operating a segmentation between the domestic level on one hand and cross-border on the other. However, they believe that their market shares in each of these segments would be substantially identical to their overall market share, which they estimate at [10-20]% ([5-10]% for EHDH and [10-20]% for Ciblex). They note that many competitors are present in this segment, notably Chronopost (between [10-20]% market share according to the notifying party), TNT (between [10-20]%), DB Schenker-Joyaux ([10-20]%), Geodis Calberson ([10-20]%), and Heppner (between [5-10]%).  </w:t>
        <w:br/>
        <w:t xml:space="preserve">17. It follows that the operation is not likely to harm competition through horizontal effects in the markets for road freight transport, regardless of the segmentations considered.  </w:t>
        <w:br/>
        <w:t xml:space="preserve">14 See in particular the decisions of the Authority 09-DCC-40 and 10-DCC-26 cited above.  </w:t>
        <w:br/>
        <w:t xml:space="preserve">15 See in particular the decisions of the Commission COMP/M.1371 and COMP/M.1405 cited above.  </w:t>
        <w:br/>
        <w:t>16 See in particular the decisions of the Authority 09-DCC-74 and 09-DCC-13 cited above and the decision COMP/M. 5877 cited above.</w:t>
      </w:r>
    </w:p>
    <w:p>
      <w:r>
        <w:t xml:space="preserve">DECIDES  </w:t>
        <w:br/>
        <w:t xml:space="preserve">Sole Article: The operation notified under number 14-095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