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https://www.autoritedelaconcurrence.fr/fr/decision-de-controle-des-concentrations/relative-la-prise-de-controle-exclusif-de-cinq-entites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25-DCC-141 of June 20, 2025  </w:t>
        <w:br/>
        <w:t xml:space="preserve">concerning the exclusive control acquisition of five legal entities located  </w:t>
        <w:br/>
        <w:t xml:space="preserve">in France, Portugal, and Spain, held by  </w:t>
        <w:br/>
        <w:t>International Paper, by Palm Group</w:t>
      </w:r>
    </w:p>
    <w:p>
      <w:r>
        <w:t>The Competition Authority,</w:t>
      </w:r>
    </w:p>
    <w:p>
      <w:r>
        <w:t xml:space="preserve">Having regard to the complete notification file sent to the mergers department on May 19, 2025,  </w:t>
        <w:br/>
        <w:t xml:space="preserve">concerning the exclusive control acquisition of five legal entities located in France, Portugal, and  </w:t>
        <w:br/>
        <w:t>Spain, held by International Paper, by Palm Group, formalized by a sale option agreement dated April 11,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acquisition by Palm Industrie Beteiligungs-GmbH and Seyfert  </w:t>
        <w:br/>
        <w:t xml:space="preserve">SAS, which are part of the Palm Group, of 100% of the shares of each of the five legal entities ultimately controlled by International Paper Company (International Papier), which own the following plants: three plants in France (an integrated plant in Saint-Amand-Villages, an integrated plant in Mortagne, and a sheet plant in Cabourg); an integrated plant in Ovar, Portugal; and an integrated plant in Bilbao, Spain. These plants are active in the manufacturing of corrugated cardboard sheets and corrugated packaging.  </w:t>
        <w:br/>
        <w:t xml:space="preserve">The notified operation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25-125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