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https://www.autoritedelaconcurrence.fr/fr/decision-de-controle-des-concentrations/relative-la-prise-de-controle-exclusif-de-cinq-fonds-de-1</w:t>
      </w:r>
    </w:p>
    <w:p>
      <w:r>
        <w:t>Pages translated : 2</w:t>
      </w:r>
    </w:p>
    <w:p/>
    <w:p>
      <w:r>
        <w:rPr>
          <w:b/>
        </w:rPr>
        <w:t>[Pages 1–2]</w:t>
      </w:r>
    </w:p>
    <w:p>
      <w:r>
        <w:t xml:space="preserve">FRENCH REPUBLIC  </w:t>
        <w:br/>
        <w:t xml:space="preserve">Decision No. 22-DCC-127 of July 20, 2022  </w:t>
        <w:br/>
        <w:t xml:space="preserve">regarding the exclusive control acquisition of five automotive distribution businesses under the Renault and Dacia brands by the company Gemy  </w:t>
        <w:br/>
        <w:t xml:space="preserve">The Competition Authority,  </w:t>
        <w:br/>
        <w:t xml:space="preserve">Having regard to the complete notification file submitted to the mergers department on July 1, 2022, concerning the exclusive control acquisition of five automotive distribution businesses and a storage and distribution site for automotive spare parts owned by Renault Retail Group by the company Gemy, formalized by two letters of intent dated March 4,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five automotive distribution businesses and a storage and distribution site for automotive spare parts owned by Renault Retail Group by the company Gemy, which is itself active in the distribution, maintenance, and repair of motor vehicles.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22-144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