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https://www.autoritedelaconcurrence.fr/fr/decision-de-controle-des-concentrations/relative-la-prise-de-controle-exclusif-de-cinq-fonds-de-3</w:t>
      </w:r>
    </w:p>
    <w:p>
      <w:r>
        <w:t>Pages translated : 2</w:t>
      </w:r>
    </w:p>
    <w:p/>
    <w:p>
      <w:r>
        <w:rPr>
          <w:b/>
        </w:rPr>
        <w:t>[Pages 1–2]</w:t>
      </w:r>
    </w:p>
    <w:p>
      <w:r>
        <w:t>FRENCH REPUBLIC</w:t>
        <w:br/>
        <w:t>Decision No. 25-DCC-316 of December 10, 2025</w:t>
        <w:br/>
        <w:t>regarding the exclusive control acquisition of five business assets</w:t>
        <w:br/>
        <w:t>operated by the company Claro Automobiles by the company Auto Sélection</w:t>
        <w:br/>
        <w:t>The Competition Authority,</w:t>
        <w:br/>
        <w:t>Having regard to the complete notification file sent to the mergers department on</w:t>
        <w:br/>
        <w:t>November 25, 2025, concerning the exclusive control acquisition of five business assets operated</w:t>
        <w:br/>
        <w:t>by the company Claro Automobiles, formalized by a letter of intent signed on</w:t>
        <w:br/>
        <w:t>October 24, 2025;</w:t>
        <w:br/>
        <w:t>Having regard to Book IV of the Commercial Code relating to the freedom of prices and competition, and</w:t>
        <w:br/>
        <w:t>notably its Articles L. 430-1 to L. 430-7;</w:t>
        <w:br/>
        <w:t>Adopts the following decision:</w:t>
        <w:br/>
        <w:t>1. The notified operation consists of the acquisition by the company Auto Sélection, a subsidiary of the DMD group, of five automotive dealership business assets under the Opel/Leapmotor brand, located in Saint-Grégoire (35), Rezé (44), Orvault (44), Saint-Nazaire (44), and Angers (49). This operation constitutes a concentration within the meaning of Article L. 430-1 of the Commercial Code. Given the turnover generated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25-327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