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https://www.autoritedelaconcurrence.fr/fr/decision-de-controle-des-concentrations/relative-la-prise-de-controle-exclusif-de-cinq-fonds-de-4</w:t>
      </w:r>
    </w:p>
    <w:p>
      <w:r>
        <w:t>Pages translated : 2</w:t>
      </w:r>
    </w:p>
    <w:p/>
    <w:p>
      <w:r>
        <w:rPr>
          <w:b/>
        </w:rPr>
        <w:t>[Pages 1–2]</w:t>
      </w:r>
    </w:p>
    <w:p>
      <w:r>
        <w:t xml:space="preserve">FRENCH REPUBLIC  </w:t>
        <w:br/>
        <w:t xml:space="preserve">Decision No. 26-DCC-20 of January 21, 2026  </w:t>
        <w:br/>
        <w:t xml:space="preserve">regarding the exclusive control acquisition of five business assets of the  </w:t>
        <w:br/>
        <w:t xml:space="preserve">Auchan group by the Carrefour group  </w:t>
        <w:br/>
        <w:t xml:space="preserve">The Competition Authority,  </w:t>
        <w:br/>
        <w:t xml:space="preserve">Having regard to the complete notification file submitted to the mergers department on  </w:t>
        <w:br/>
        <w:t xml:space="preserve">December 23, 2025, concerning the exclusive control acquisition by the Carrefour group of five business assets under the Auchan group brands, formalized by four asset transfer agreements dated May 30, 2025, as well as a promise of business asset transfer dated December 19, 2025;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two successive concentrations by which the Carrefour group acquires exclusive control of five food retail business assets operated under the Auchan group brands. The first concentration, completed on June 1, 2025, concerns the acquisition of four business assets previously operated under the brand "myAuchan," all located in Paris (75). The second concentration concerns the acquisition of a supermarket-type business asset under the brand "Auchan Supermarché" and the related operating building, located in Aubagne (13). The operation constitutes a concentration within the meaning of Article L. 430-1 of the Commercial Code. Given the revenues generated by the companies involved,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25-319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