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w:t>
      </w:r>
    </w:p>
    <w:p>
      <w:r>
        <w:t>Pages translated : 2</w:t>
      </w:r>
    </w:p>
    <w:p/>
    <w:p>
      <w:r>
        <w:rPr>
          <w:b/>
        </w:rPr>
        <w:t>[Pages 1–2]</w:t>
      </w:r>
    </w:p>
    <w:p>
      <w:r>
        <w:t xml:space="preserve">FRENCH REPUBLIC  </w:t>
        <w:br/>
        <w:t xml:space="preserve">Decision No. 15-DCC-97 of July 15, 2015  </w:t>
        <w:br/>
        <w:t xml:space="preserve">regarding the exclusive control acquisition of five business assets  </w:t>
        <w:br/>
        <w:t xml:space="preserve">belonging to the company Europ’motors by the Holding Toys Investments group  </w:t>
        <w:br/>
        <w:t xml:space="preserve">The Competition Authority,  </w:t>
        <w:br/>
        <w:t xml:space="preserve">Having regard to the complete notification file sent to the mergers department on June 22, 2015,  </w:t>
        <w:br/>
        <w:t xml:space="preserve">concerning the exclusive control acquisition of five business assets belonging to the company  </w:t>
        <w:br/>
        <w:t xml:space="preserve">Europ’Motors by the Holding Toys Investments group and formalized by a memorandum of understanding dated May 21,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five business assets  </w:t>
        <w:br/>
        <w:t xml:space="preserve">belonging to the company Europ’Motors, distributing Toyota brand automobiles in the departments of Nord (59), Pas de Calais (62), and Somme (80), by the Holding Toys Investments group, which is itself active in the automobile distribution sector in the departments of Vendée (85), Charente Maritime (17), Charente (16), Indre et Loire (37), Nord (59), Pas-de-Calais (62), and Maine et Loire (49). This operation constitutes a concentration within the meaning of Article L.430-1 of the Commercial Code. Given the turnover achieved by the companies concerned, the operation does not fall under the jurisdiction of the European Union. However, the retail control thresholds mentioned in point II of Article L.430-2 of the Commercial Code are exceeded. This operation is therefore subject to the provisions of Articles L.430-3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15-107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