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https://www.autoritedelaconcurrence.fr/fr/decision-de-controle-des-concentrations/relative-la-prise-de-controle-exclusif-de-cinq-societes-du</w:t>
      </w:r>
    </w:p>
    <w:p>
      <w:r>
        <w:t>Pages translated : 2</w:t>
      </w:r>
    </w:p>
    <w:p/>
    <w:p>
      <w:r>
        <w:rPr>
          <w:b/>
        </w:rPr>
        <w:t>[Pages 1–2]</w:t>
      </w:r>
    </w:p>
    <w:p>
      <w:r>
        <w:t>FRENCH REPUBLIC</w:t>
        <w:br/>
        <w:t>Decision No. 14-DCC-93 of June 27, 2014</w:t>
        <w:br/>
        <w:t>regarding the exclusive control acquisition of five companies of the Ernest Turc group by the company Jardiplay (Sofia group)</w:t>
        <w:br/>
        <w:t>The Competition Authority,</w:t>
        <w:br/>
        <w:t>Having regard to the notification file submitted in full to the mergers department on May 27, 2014, concerning the exclusive control acquisition of five companies of the Ernest Turc group by the Sofia group, formalized by a letter of intent dated May 19, 2014;</w:t>
        <w:br/>
        <w:t>Having regard to Book IV of the Commercial Code relating to the freedom of prices and competition, and in particular its Articles L. 430-1 to L. 430-7;</w:t>
        <w:br/>
        <w:t>Adopts the following decision:</w:t>
        <w:br/>
        <w:t>1. The notified operation consists of the exclusive control acquisition of the five companies of the Ernest Turc group active in the distribution of gardening products under the brand Jardiland in Vannes (56), Lorient (56), Angers (49), Saumur (49), and La Flèche (72), by the company Jardiplay, a subsidiary of the Sofia company, which operates in the same sector in other departments. It constitutes a concentration operation within the meaning of Article L. 430-1 of the Commercial Code. Given the turnover achieved by the companies concerned, the operation does not fall under the jurisdiction of the European Union. However, the retail control thresholds mentioned in point II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14-084 is authorized.</w:t>
        <w:b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