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https://www.autoritedelaconcurrence.fr/fr/decision-de-controle-des-concentrations/relative-la-prise-de-controle-exclusif-de-cinq-societes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24-DCC-180 of August 9, 2024  </w:t>
        <w:br/>
        <w:t xml:space="preserve">regarding the exclusive control acquisition of five companies holding a portfolio of hotel business assets by Crédit Agricole Assurances  </w:t>
        <w:br/>
        <w:t xml:space="preserve">The Competition Authority,  </w:t>
        <w:br/>
        <w:t xml:space="preserve">Having regard to the complete notification file submitted to the mergers department on July 23, 2024, concerning the exclusive control acquisition of five companies holding a portfolio of hotel business assets by Crédit Agricole Assurances formalized by a memorandum of understanding signed on June 20, 2024;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acquisition through the company Holdco Iris Dahlia, controlled by Crédit Agricole Assurances, of 100% of the capital and voting rights of the companies Montreuilloise, CTID, Newco Belgium, Newco Germany 1, and Newco Germany 2, which together hold a portfolio composed of 13 hotel business assets. The operation constitutes a concentration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24-189 is authorized.  </w:t>
        <w:br/>
        <w:t xml:space="preserve">The Vice-President,  </w:t>
        <w:br/>
        <w:t xml:space="preserve">Thibaud Vergé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