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https://www.autoritedelaconcurrence.fr/fr/decision-de-controle-des-concentrations/relative-la-prise-de-controle-exclusif-de-ciril-group-par</w:t>
      </w:r>
    </w:p>
    <w:p>
      <w:r>
        <w:t>Pages translated : 2</w:t>
      </w:r>
    </w:p>
    <w:p/>
    <w:p>
      <w:r>
        <w:rPr>
          <w:b/>
        </w:rPr>
        <w:t>[Pages 1–2]</w:t>
      </w:r>
    </w:p>
    <w:p>
      <w:r>
        <w:t xml:space="preserve">FRENCH REPUBLIC  </w:t>
        <w:br/>
        <w:t xml:space="preserve">Decision No. 25-DCC-215 of September 19, 2025  </w:t>
        <w:br/>
        <w:t xml:space="preserve">regarding the exclusive control acquisition of Ciril Group  </w:t>
        <w:br/>
        <w:t xml:space="preserve">by Carlyle Group  </w:t>
        <w:br/>
        <w:t xml:space="preserve">The Competition Authority,  </w:t>
        <w:br/>
        <w:t xml:space="preserve">Having regard to the complete notification file submitted to the mergers department on August 29, 2025,  </w:t>
        <w:br/>
        <w:t xml:space="preserve">concerning the exclusive control acquisition of Ciril Group by Carlyle Group, formalized by a  </w:t>
        <w:br/>
        <w:t xml:space="preserve">unilateral purchase promise dated July 25, 2025;  </w:t>
        <w:br/>
        <w:t xml:space="preserve">Having regard to Book IV of the Commercial Code relating to the freedom of prices and competition, and  </w:t>
        <w:br/>
        <w:t xml:space="preserve">notably its Articles L. 430-1 to L. 430-7;  </w:t>
        <w:br/>
        <w:t xml:space="preserve">Having regard to the other documents in the file;  </w:t>
        <w:br/>
        <w:t xml:space="preserve">Adopts the following decision:  </w:t>
        <w:br/>
        <w:t xml:space="preserve">1. The notified operation consists of the exclusive control acquisition of the company Ciril Group SAS and  </w:t>
        <w:br/>
        <w:t xml:space="preserve">its subsidiaries by the company CETPV Investment 19 S.à.r.l., which is controlled by the company The  </w:t>
        <w:br/>
        <w:t xml:space="preserve">Carlyle Group Inc. The relevant sectors are that of software and cloud hosting. Given the revenues generated by the companies concerned,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 [Confidential].</w:t>
      </w:r>
    </w:p>
    <w:p>
      <w:r>
        <w:t xml:space="preserve">DECIDES  </w:t>
        <w:br/>
        <w:t xml:space="preserve">Sole Article: The operation notified under number 25-223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