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https://www.autoritedelaconcurrence.fr/fr/decision-de-controle-des-concentrations/relative-la-prise-de-controle-exclusif-de-club-mediterranee</w:t>
      </w:r>
    </w:p>
    <w:p>
      <w:r>
        <w:t>Pages translated : 2</w:t>
      </w:r>
    </w:p>
    <w:p/>
    <w:p>
      <w:r>
        <w:rPr>
          <w:b/>
        </w:rPr>
        <w:t>[Pages 1–2]</w:t>
      </w:r>
    </w:p>
    <w:p>
      <w:r>
        <w:t xml:space="preserve">FRENCH REPUBLIC  </w:t>
        <w:br/>
        <w:t xml:space="preserve">Decision No. 14-DCC-115 of August 8, 2014  </w:t>
        <w:br/>
        <w:t xml:space="preserve">regarding the exclusive control of Club Méditerranée  </w:t>
        <w:br/>
        <w:t xml:space="preserve">by the BI-Invest group  </w:t>
        <w:br/>
        <w:t xml:space="preserve">The Competition Authority,  </w:t>
        <w:br/>
        <w:t xml:space="preserve">Having regard to the complete notification file sent to the mergers department on July 22, 2014  </w:t>
        <w:br/>
        <w:t xml:space="preserve">concerning the exclusive control of Club Méditerranée by BI-Invest via the management company Investindustrial Advisors Limited, through a public tender offer materialized by the draft information memorandum filed with the Financial Markets Authority on June 30,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Club Méditerranée, which operates in the markets for package holiday provision and cruises, by Global Resorts, an indirect subsidiary of Investindustrial V, an investment fund managed by Investindustrial Advisors Limited, part of the BI-Invest group. This operation constitutes a concentration within the meaning of Article L. 430-1 of the Commercial Code. Given the revenues generated by the companies concerned, the operation does not have a community dimension. However,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14-122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