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https://www.autoritedelaconcurrence.fr/fr/decision-de-controle-des-concentrations/relative-la-prise-de-controle-exclusif-de-comax-france-par</w:t>
      </w:r>
    </w:p>
    <w:p>
      <w:r>
        <w:t>Pages translated : 2</w:t>
      </w:r>
    </w:p>
    <w:p/>
    <w:p>
      <w:r>
        <w:rPr>
          <w:b/>
        </w:rPr>
        <w:t>[Pages 1–2]</w:t>
      </w:r>
    </w:p>
    <w:p>
      <w:r>
        <w:t>FRENCH REPUBLIC</w:t>
        <w:br/>
        <w:t>Decision No. 24-DCC-194 of August 30, 2024</w:t>
        <w:br/>
        <w:t>regarding the exclusive control acquisition of Comax France by MET Asset Management Holding</w:t>
        <w:br/>
        <w:t>The Competition Authority,</w:t>
        <w:br/>
        <w:t>Having regard to the complete notification file submitted to the mergers department on August 13, 2024, concerning the exclusive control acquisition of the company Comax France by the company MET Asset Management Holding AG formalized by a sale and purchase agreement and a call option agreement signed on July 24, 2024;</w:t>
        <w:br/>
        <w:t>Having regard to Book IV of the Commercial Code relating to the freedom of prices and competition, and in particular its Articles L. 430-1 to L. 430-7;</w:t>
        <w:br/>
        <w:t>Adopts the following decision:</w:t>
        <w:br/>
        <w:t>1. The notified operation consists of the acquisition by the company MET Asset Management Holding AG of all the shares of Comax France, which is active in the sector of production and wholesale sale of electricity. The operation constitutes a concentration within the meaning of Article L. 430-1 of the Commercial Code. Given the turnover achieved by the companies involved,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24-206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