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https://www.autoritedelaconcurrence.fr/fr/decision-de-controle-des-concentrations/relative-la-prise-de-controle-exclusif-de-connector-sas-par</w:t>
      </w:r>
    </w:p>
    <w:p>
      <w:r>
        <w:t>Pages translated : 5</w:t>
      </w:r>
    </w:p>
    <w:p/>
    <w:p>
      <w:r>
        <w:rPr>
          <w:b/>
        </w:rPr>
        <w:t>[Pages 1–3]</w:t>
      </w:r>
    </w:p>
    <w:p>
      <w:r>
        <w:t xml:space="preserve">FRENCH REPUBLIC  </w:t>
        <w:br/>
        <w:t xml:space="preserve">Decision No. 16-DCC-168 of November 4, 2016  </w:t>
        <w:br/>
        <w:t>regarding the exclusive control of Connector SAS by the Banque Fédérative du Crédit Mutuel</w:t>
      </w:r>
    </w:p>
    <w:p>
      <w:r>
        <w:t xml:space="preserve">The Competition Authority,  </w:t>
        <w:br/>
        <w:t xml:space="preserve">Having regard to the notification file submitted in full to the merger service on October 5, 2016, regarding the exclusive control by the Banque Fédérative du Crédit Mutuel of Connector SAS, formalized by a share transfer agreement dated September 12, 2016;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Banque Fédérative du Crédit Mutuel (hereinafter "BFCM") is the holding company of a mutual banking group composed of 11 regional federations of Crédit Mutuel. The BFCM group engages in retail banking, financing banking, private banking, insurance, market activities, and development capital. BFCM controls the company Circet Groupe1 which holds the companies Kalliste, STA, and SNT Bâtiment, active in the field of engineering, deployment, and maintenance of telecommunications infrastructures. [Confidential]2. Except for these four companies, BFCM does not hold any other controlling interest in companies active in the markets concerned by the operation or in upstream, downstream, or related markets3.  </w:t>
        <w:br/>
        <w:t xml:space="preserve">1 Decision No. 15-DCC-91 of July 10, 2015 regarding the exclusive control of the Circet group by the Banque Fédérative du Crédit Mutuel.  </w:t>
        <w:br/>
        <w:t xml:space="preserve">2 [Confidential].  </w:t>
        <w:br/>
        <w:t>3 [Confidential].</w:t>
      </w:r>
    </w:p>
    <w:p>
      <w:r>
        <w:t xml:space="preserve">2. Connector SAS (hereinafter "Connector") is a holding company that directly or indirectly controls the companies Vara, La Signalisation Bretagne LSB, S3A, and Soneg. The capital of Connector is divided among Orfite Investissements 18 ([…] %), Ardel ([…] %), Dems ([…] %), Maewan Développement ([…] %), and Jérôme Ripaud ([…] %). It is active in the sector of telecommunications network installation and maintenance services as well as electrical engineering services for electrical substations, primarily in Brittany, Pays de la Loire, Centre-Val de Loire, and Nouvelle-Aquitaine.  </w:t>
        <w:br/>
        <w:t xml:space="preserve">3. Under the terms of a share transfer agreement dated September 12, 2016, BFCM is to acquire 100% of the shares of Connector. As it results in the exclusive control of Connector by BFCM, the notified operation constitutes a concentration operation within the meaning of Article L. 430-1 of the Commercial Code.  </w:t>
        <w:br/>
        <w:t>4. The concerned companies together achieve a total worldwide turnover excluding taxes of more than 150 million euros (BFCM: […] euros for the fiscal year ending December 31, 2015; Connector: […] euros for the same fiscal year). Each of these companies has achieved a turnover in France exceeding 50 million euros (BFCM: […] euros for the fiscal year ending December 31, 2015; Connector: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are simultaneously active in the electrical engineering markets4.  </w:t>
        <w:br/>
        <w:t xml:space="preserve">1. PRODUCT MARKET  </w:t>
        <w:br/>
        <w:t xml:space="preserve">6. Regarding engineering services, decision-making practice5 has established a segmentation between the market for electrical engineering services, which includes installation and maintenance services for telecommunications networks, and the markets for mechanical engineering and climate engineering services.  </w:t>
        <w:br/>
        <w:t xml:space="preserve">7. Electrical engineering encompasses installation and maintenance services for telecommunications networks. Within electrical engineering, decision-making practice6 has considered the existence of three distinct segments relating to (i) telecommunications, (ii) electrical substations, and (iii) high voltage lines. In any case, the question of the relevance of segmentation between the different types of electrical engineering works can be left open insofar as, regardless of the segmentation chosen, the conclusions of the competitive analysis remain unchanged.  </w:t>
        <w:br/>
        <w:t xml:space="preserve">8. Competition authorities7 have also considered that the electrical engineering market could be segmented based on the type of work, distinguishing between maintenance work and installation work. In accordance with decision-making practice8, the parties consider that installation work includes the following services: design, initial installation of equipment, maintenance, repair, and modernization of infrastructure. Maintenance corresponds to the organization of periodic inspection visits.  </w:t>
        <w:br/>
        <w:t xml:space="preserve">9. Furthermore, decision-making practice9 has recognized the existence of a segmentation based on the type of clientele, distinguishing between residential and non-residential clientele. Within the segment of electrical engineering for non-residential clientele, it has considered a sub-segmentation between (i) infrastructures, (ii) industry, and (iii) tertiary sector.  </w:t>
        <w:br/>
        <w:t xml:space="preserve">10. Finally, competition authorities10 have considered a segmentation of the markets for the installation and maintenance of telecommunications networks by distinguishing between work concerning the installation and maintenance of radio electronic communications equipment, on the one hand, and work for the installation and maintenance of electronic communications equipment, on the other hand.  </w:t>
        <w:br/>
        <w:t xml:space="preserve">11. In any case, the question of the exact delimitation of these markets can be left open, insofar as, regardless of the segmentation chosen, the conclusions of the competitive analysis remain unchanged.  </w:t>
        <w:br/>
        <w:t xml:space="preserve">12. In this case, the parties are simultaneously active in the telecommunications network installation market.  </w:t>
        <w:br/>
        <w:t xml:space="preserve">2. GEOGRAPHICAL MARKET  </w:t>
        <w:br/>
        <w:t xml:space="preserve">13. European decision-making practice11 considers that electrical engineering markets are likely to be national in scope, due to similar competitive conditions across the entire French territory. However, it has also conducted a competitive analysis of these markets at the regional level and left open the question of their exact geographical delimitation. Similarly, national decision-making practice12 has considered that these markets could have a national or regional dimension.  </w:t>
        <w:br/>
        <w:t xml:space="preserve">14. In any case, the question of the exact geographical delimitation of these markets can be left open insofar as, regardless of the delimitation chosen, the conclusions of the competitive analysis remain unchanged.  </w:t>
        <w:br/>
        <w:t xml:space="preserve">7 Id.  </w:t>
        <w:br/>
        <w:t xml:space="preserve">8 See in particular the decision of the European Commission No. COMP / M. 5701 cited above.  </w:t>
        <w:br/>
        <w:t xml:space="preserve">9 See in particular the letter from the Minister of Economy C2008-117 of December 4, 2008, to the advisors of the company Eiffage, regarding a concentration in the sectors of multi-technical installation and maintenance and climate engineering works, and the decisions of the European Commission No. COMP/M.5701 of March 26, 2010, cited above, and No. COMP/M.6623 of August 31, 2012 – Vinci/EVT Business.  </w:t>
        <w:br/>
        <w:t xml:space="preserve">10 Decisions of the Competition Authority No. 13-DCC-29 and No. 15-DCC-72 cited above.  </w:t>
        <w:br/>
        <w:t xml:space="preserve">11 Decisions of the European Commission COMP/M.5701 of March 26, 2010, and COMP/M.6623 of August 31, 2012, cited above.  </w:t>
        <w:br/>
        <w:t>12 Letter from the Minister of Economy C2008-17 of December 4, 2008, and decisions of the Competition Authority No. 13-DCC-29 and No. 15-DCC-72, cited above.</w:t>
      </w:r>
    </w:p>
    <w:p>
      <w:r>
        <w:rPr>
          <w:b/>
        </w:rPr>
        <w:t>[Pages 4–5]</w:t>
      </w:r>
    </w:p>
    <w:p>
      <w:r>
        <w:t>15. In this case, the parties are not simultaneously present in the same regions. The analysis will therefore be conducted at the national level.</w:t>
      </w:r>
    </w:p>
    <w:p>
      <w:r>
        <w:t>III. Competitive Analysis</w:t>
      </w:r>
    </w:p>
    <w:p>
      <w:r>
        <w:t>16. In the electrical engineering market, at the national level, the new entity will hold a market share of [0-5]%.</w:t>
      </w:r>
    </w:p>
    <w:p>
      <w:r>
        <w:t>17. In the telecommunications network installation and maintenance market, at the national level, the new entity will hold a market share of less than 10%.</w:t>
      </w:r>
    </w:p>
    <w:p>
      <w:r>
        <w:t>18. In the telecommunications network installation market, at the national level, BFCM and Connector hold market shares of [5-10]% and [0-5]% respectively. Following the transaction, the market share of the new entity will therefore amount to [5-10]% and will be less than 20%, regardless of the segmentation considered.</w:t>
      </w:r>
    </w:p>
    <w:p>
      <w:r>
        <w:t>19. At the national level, in the relevant markets, the new entity will continue to face competition from numerous players, including Vinci, Spie, the Eiffage group, and Bouygues Energie.</w:t>
      </w:r>
    </w:p>
    <w:p>
      <w:r>
        <w:t>20. Consequently, given these limited market shares and the presence of significant competitors, the transaction is not likely to harm competition through horizontal effects in the electrical engineering, installation, and maintenance markets for telecommunications networks.</w:t>
      </w:r>
    </w:p>
    <w:p>
      <w:r>
        <w:t>DECIDES</w:t>
      </w:r>
    </w:p>
    <w:p>
      <w:r>
        <w:t>Sole Article: The transaction notified under number 16-176 is authorized.</w:t>
      </w:r>
    </w:p>
    <w:p>
      <w: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