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https://www.autoritedelaconcurrence.fr/fr/decision-de-controle-des-concentrations/relative-la-prise-de-controle-exclusif-de-contrats</w:t>
      </w:r>
    </w:p>
    <w:p>
      <w:r>
        <w:t>Pages translated : 3</w:t>
      </w:r>
    </w:p>
    <w:p/>
    <w:p>
      <w:r>
        <w:rPr>
          <w:b/>
        </w:rPr>
        <w:t>[Pages 1–3]</w:t>
      </w:r>
    </w:p>
    <w:p>
      <w:r>
        <w:t xml:space="preserve">FRENCH REPUBLIC  </w:t>
        <w:br/>
        <w:t xml:space="preserve">Decision No. 17-DCC-113 of July 18, 2017  </w:t>
        <w:br/>
        <w:t xml:space="preserve">regarding the exclusive control of Amis insurance contracts  </w:t>
        <w:br/>
        <w:t xml:space="preserve">by the Malakoff Médéric group  </w:t>
        <w:br/>
        <w:t xml:space="preserve">The Competition Authority,  </w:t>
        <w:br/>
        <w:t xml:space="preserve">Having regard to the notification file submitted in full to the merger service on June 20, 2017,  </w:t>
        <w:br/>
        <w:t xml:space="preserve">regarding the exclusive control of Amis insurance contracts by the Malakoff Médéric group, formalized by a portfolio transfer agreement dated June 2, 2017;  </w:t>
        <w:br/>
        <w:t xml:space="preserve">Having regard to Book IV of the Commercial Code relating to price freedom and competition, and in particular its Articles L. 430-1 to L. 430-10;  </w:t>
        <w:br/>
        <w:t xml:space="preserve">Having regard to the supplementary elements transmitted by the notifying party;  </w:t>
        <w:br/>
        <w:t xml:space="preserve">Adopts the following decision:  </w:t>
        <w:br/>
        <w:t xml:space="preserve">I. The companies concerned and the operation  </w:t>
        <w:br/>
        <w:t xml:space="preserve">1. Malakoff Médéric is a non-profit social protection group composed of various entities. It heads subsidiaries active in particular in the fields of provident insurance, personal insurance, and portfolio management. These companies are members of a summit association, La Sommitale AS2M, responsible for defining the political and strategic orientations of the group.  </w:t>
        <w:br/>
        <w:t xml:space="preserve">2. The target of the operation is a portfolio of individual complementary health insurance contracts, developed under the Amis brand (hereinafter "the Amis contracts") and currently held by Aviva Assurances. The Amis contracts have an activity that translates into a presence in a market to which a turnover can be unambiguously attributed.  </w:t>
        <w:br/>
        <w:t>3. Under a transfer agreement dated June 2, 2017, the company Quatrem, a 100% subsidiary of Malakoff Médéric, committed to acquiring the Amis contracts from Aviva Assurances. As it results in the exclusive control by Malakoff Médéric of the Amis contracts, the operation constitutes a concentration within the meaning of Article L. 430-1 of the Commercial Code.</w:t>
      </w:r>
    </w:p>
    <w:p>
      <w:r>
        <w:t xml:space="preserve">4. The companies concerned together achieved a consolidated worldwide turnover excluding taxes of more than 150 million euros in the last closed financial year (Malakoff Médéric: 3.8 billion euros for the financial year ended December 31, 2016; Amis contracts: 71.5 million euros for the same financial year). Each of these companies achieved a turnover in France exceeding 50 million euros (Malakoff Médéric: 3.8 billion euros for the financial year ended December 31, 2016; Amis contracts: 71.1 million euros for the same financial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operation results in an overlap of activities of the parties in the insurance sector.  </w:t>
        <w:br/>
        <w:t xml:space="preserve">A. PRODUCT MARKETS  </w:t>
        <w:br/>
        <w:t xml:space="preserve">6. In the insurance sector, decision-making practice consistently distinguishes between personal insurance markets, property insurance markets, and reinsurance markets. Each of these markets can be further segmented into as many markets as there are insurances covering different types of risks, insofar as, from the demand perspective, the insurance products covering these different risks are not substitutable.  </w:t>
        <w:br/>
        <w:t xml:space="preserve">7. The parties are simultaneously active in the personal insurance product markets, and more specifically in the complementary health insurance market. This market includes insurance products that guarantee beneficiaries in the event of illness, accident, or maternity and aim to provide insured individuals with complementary coverage for health expenses.  </w:t>
        <w:br/>
        <w:t xml:space="preserve">8. A further segmentation is made between collective insurance contracts, concluded between an insurer and a subscriber distinct from the beneficiary, and individual insurance contracts for which the subscriber is also the beneficiary.  </w:t>
        <w:br/>
        <w:t xml:space="preserve">9. In this case, the parties are simultaneously present in the individual complementary health insurance market.  </w:t>
        <w:br/>
        <w:t xml:space="preserve">10. The question of the exact delimitation of these markets can be left open, as the conclusions of the competitive analysis remain unchanged regardless of the segmentation adopted.  </w:t>
        <w:br/>
        <w:t xml:space="preserve">1See in particular the decisions of the European Commission COMP/M.5083 - Groupama / OTP Garancia of April 15, 2008, COMP/M.3556 - Fortis / BCP of January 19, 2005, as well as the decisions of the Competition Authority No. 17-DCC-104 of July 5, 2017, regarding the merger of the Group Mutualist Unions Groupe Istya and Groupe Harmonie, No. 17-DCC-98 of June 28, 2017, regarding the exclusive control of the Mutuelle Mieux-Être by the Pro-BTP group, No. 15-DCC-151 of November 23, 2015, regarding the exclusive control of Legal &amp; General Holdings SA France by the Apicil group, and No. 14-DCC-161 of November 5, 2014, regarding the merger of the AG2R La Mondiale and Réunica groups, or No. 13-DCC-84 of July 4, 2013, regarding the affiliation of the interprofessional mutual SMI to the mutual insurance group Covéa.  </w:t>
        <w:br/>
        <w:t>2</w:t>
      </w:r>
    </w:p>
    <w:p>
      <w:r>
        <w:t xml:space="preserve">B. GEOGRAPHICAL MARKETS  </w:t>
        <w:br/>
        <w:t xml:space="preserve">11. Decision-making practice considers that, with the exception of certain insurances covering large-scale risks, insurance markets are of national dimension, particularly given consumer preferences, the existence of national tax regulations, the current structure of these markets, or the regulatory systems concerning this sector.  </w:t>
        <w:br/>
        <w:t xml:space="preserve">III. Competitive analysis  </w:t>
        <w:br/>
        <w:t xml:space="preserve">12. In the national personal insurance market, the new entity will hold an estimated market share of 2.02% (2% for Malakoff Médéric, 0.02% for the Amis contracts).  </w:t>
        <w:br/>
        <w:t xml:space="preserve">13. In the national complementary health insurance market, the new entity will hold an estimated market share of 6.1% (5.87% for Malakoff Médéric, 0.2% for the Amis contracts). The new entity will compete with groups such as Ystia-Harmonie Mutuelle (14.7%), Axa (10%), Groupama Gan (6%), or AG2R La Mondiale (6.1%).  </w:t>
        <w:br/>
        <w:t xml:space="preserve">14. Finally, in the individual complementary health insurance market, the cumulative market share of the parties is estimated at 2.2% (1.79% for Malakoff Médéric, 0.4% for the Amis contracts).  </w:t>
        <w:br/>
        <w:t xml:space="preserve">15. Therefore, the operation is not likely to harm competition in the markets concerned by this operation.  </w:t>
        <w:br/>
        <w:t xml:space="preserve">DECIDES  </w:t>
        <w:br/>
        <w:t xml:space="preserve">Sole Article: The operation notified under number 17-123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