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https://www.autoritedelaconcurrence.fr/fr/decision-de-controle-des-concentrations/relative-la-prise-de-controle-exclusif-de-darty-par-la-0</w:t>
      </w:r>
    </w:p>
    <w:p>
      <w:r>
        <w:t>Pages translated : 3</w:t>
      </w:r>
    </w:p>
    <w:p/>
    <w:p>
      <w:r>
        <w:rPr>
          <w:b/>
        </w:rPr>
        <w:t>[Pages 1–3]</w:t>
      </w:r>
    </w:p>
    <w:p>
      <w:r>
        <w:t xml:space="preserve">FRENCH REPUBLIC  </w:t>
        <w:br/>
        <w:t xml:space="preserve">Decision No. 16-DEX-02 of March 23, 2016  </w:t>
        <w:br/>
        <w:t xml:space="preserve">regarding the exclusive control of Darty by Fnac  </w:t>
        <w:br/>
        <w:t xml:space="preserve">The Competition Authority,  </w:t>
        <w:br/>
        <w:t xml:space="preserve">Having regard to the notification file submitted in full to the merger service on February 17, 2016,  </w:t>
        <w:br/>
        <w:t xml:space="preserve">regarding the exclusive control of Darty by Fnac, formalized by a pre-conditional offer dated November 20, 2015;  </w:t>
        <w:br/>
        <w:t xml:space="preserve">Having regard to Book IV of the Commercial Code relating to price and competition freedom, and  </w:t>
        <w:br/>
        <w:t xml:space="preserve">notably its Articles L. 430-1 to L. 430-7;  </w:t>
        <w:br/>
        <w:t xml:space="preserve">Having regard to the supplementary elements submitted by the parties during the investigation;  </w:t>
        <w:br/>
        <w:t xml:space="preserve">Having regard to the other documents in the file;  </w:t>
        <w:br/>
        <w:t xml:space="preserve">Adopts the following decision:  </w:t>
        <w:br/>
        <w:t xml:space="preserve">1. Groupe Fnac (hereinafter "Fnac") is a public limited company established in 1954 that was listed  </w:t>
        <w:br/>
        <w:t xml:space="preserve">on the regulated market of NYSE Euronext in Paris on June 20, 2013. The capital and  </w:t>
        <w:br/>
        <w:t xml:space="preserve">voting rights of Fnac are distributed among Groupe Artémis (38.8%), Prudential plc  </w:t>
        <w:br/>
        <w:t xml:space="preserve">(9.15%), DNCA Finance (7.03%), and the public (44.94%). Fnac is active in the  </w:t>
        <w:br/>
        <w:t xml:space="preserve">distribution of a wide range of editorial products (music, video, books, and board games),  </w:t>
        <w:br/>
        <w:t xml:space="preserve">electronic products (photography, TV-video, sound, micro-computing, consoles, and video  </w:t>
        <w:br/>
        <w:t xml:space="preserve">games), as well as ticketing.  </w:t>
        <w:br/>
        <w:t xml:space="preserve">2. In France, Fnac distributes these products through 121 stores, including 86  </w:t>
        <w:br/>
        <w:t xml:space="preserve">integrated stores and 35 franchised stores. It has four store formats: stores located in city centers or in the shopping districts of large cities ( "traditional" stores), stores located in high-traffic commercial areas on the outskirts of large cities ("peripheral" stores), stores located in medium-sized and large cities to complement the brand's network ("proximity" stores), and stores in airports and train stations ("Travel" stores). Fnac also operates a website (www.fnac.com) that offers a wider range of products compared to its physical sales points. Products sold online are distributed directly by Fnac and by third parties through a marketplace.  </w:t>
        <w:br/>
        <w:t xml:space="preserve">3. Groupe Darty (hereinafter "Darty") is a company under English law established in 1957 that was  </w:t>
        <w:br/>
        <w:t xml:space="preserve">listed on the London Stock Exchange on July 7, 2003. The capital and voting rights of Darty are  </w:t>
        <w:br/>
        <w:t xml:space="preserve">distributed among Knight Vinke (14.4%), Schroders plc (14.8%), Teacher Retirement System of  </w:t>
        <w:br/>
        <w:t xml:space="preserve">Texas (10.7%), UBS Global Asset Management (6.8%), Standard Life Investments Limited  </w:t>
        <w:br/>
        <w:t xml:space="preserve">(8.6%), Legal &amp; General Investment Management (5%), DNCA Finance (6.7%), and the public  </w:t>
        <w:br/>
        <w:t xml:space="preserve">(33%). Darty distributes "white" products (large and small household appliances), "grey" products (communication and multimedia), "brown" products (televisions and audio products)  </w:t>
        <w:br/>
        <w:t xml:space="preserve">as well as custom-fitted kitchens. In France, Darty distributes its products through 220 integrated stores and 55 franchised stores. Darty also operates two websites www.darty.com and www.mistergooddeal.com which distribute, directly and through marketplaces, a wider range of products compared to its physical sales points.  </w:t>
        <w:br/>
        <w:t xml:space="preserve">4. Following a pre-conditional offer dated November 20, 2015, Fnac committed to acquire all of the issued capital and to issue of Darty. At the end of the operation, Fnac will hold 100% of Darty's capital.  </w:t>
        <w:br/>
        <w:t xml:space="preserve">5. As it constitutes an exclusive control of Darty by Fnac, the notified operation constitutes a concentration, within the meaning of Article L. 430-1 of the Commercial Code.  </w:t>
        <w:br/>
        <w:t xml:space="preserve">6. The companies concerned together achieve a total worldwide turnover excluding taxes of more than 150 million euros (Fnac: 3.895 billion euros for the fiscal year ending December 31, 2014; Darty: 3.512 billion euros for the fiscal year ending April 30, 2015). Each of these companies has achieved, in France, a total turnover excluding taxes exceeding 50 million euros (Fnac: 2.777 billion euros; Darty: 2.813 billion euros). The notification thresholds of Article 1, paragraphs 2 and 3, of Regulation (EC) 139/2004 are exceeded, but since each of the concerned companies generates more than two-thirds of its turnover in the European Union in France, the operation does not have a European dimension. This operation is therefore subject to the provisions of Articles L. 430-3 and following of the Commercial Code relating to economic concentration.  </w:t>
        <w:br/>
        <w:t xml:space="preserve">7. The operation involves the merger of two operators active in the retail markets for household appliances, particularly in the markets for "grey" products (communication and multimedia) and "brown" products (televisions and audio products). It will particularly strengthen the notifying party's positions both in the upstream supply markets and in the downstream retail distribution markets for these products. At the local level, several markets are affected. Based on an examination of local markets considering only sales in physical sales points, the positions of the parties are likely to raise serious competition concerns, as the market share of the new entity will be very significant in several local areas.  </w:t>
        <w:br/>
        <w:t xml:space="preserve">8. Nevertheless, the notifying party argues that online electronic product distributors exert significant competitive pressure on physical stores. This would significantly mitigate the position of the new entity in the relevant markets.  </w:t>
        <w:br/>
        <w:t xml:space="preserve">9. The market test conducted in this case confirms that online sales operators exert competitive pressure on actors with a network of physical stores. The elements submitted to the file by the parties and their competitors notably indicate the adoption of commercial policies aimed at a general alignment of consumer prices set in stores with those offered online for brands present in both channels. The investigation confirms this factual element, but also tends to establish that there remains a local competitive interaction between physical sales points, both on pricing and non-pricing parameters of the positioning of different operators.  </w:t>
        <w:br/>
        <w:t xml:space="preserve">10. In light of these elements, it is therefore appropriate to examine the definition of the markets for the distribution of electronic products, by studying the possibility of recognizing the existence of a single market including online sales and in-store sales. The assessment of the parties' position following the operation also requires evaluating the intensity of the pressure to which the new entity will be subjected from competing distributors, including, where applicable, distributors operating only online.  </w:t>
        <w:br/>
        <w:t xml:space="preserve">11. It is therefore necessary to initiate a thorough examination, pursuant to III of Article L. 430-5 of the Commercial Code.  </w:t>
        <w:br/>
        <w:t xml:space="preserve">DECIDES  </w:t>
        <w:br/>
        <w:t xml:space="preserve">Sole Article: The operation notified under number 15-233 is subject to a thorough examination under the conditions provided for in Article L. 430-6 of the Commercial Code.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