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https://www.autoritedelaconcurrence.fr/fr/decision-de-controle-des-concentrations/relative-la-prise-de-controle-exclusif-de-darty-telecom-par</w:t>
      </w:r>
    </w:p>
    <w:p>
      <w:r>
        <w:t>Pages translated : 9</w:t>
      </w:r>
    </w:p>
    <w:p/>
    <w:p>
      <w:r>
        <w:rPr>
          <w:b/>
        </w:rPr>
        <w:t>[Pages 1–3]</w:t>
      </w:r>
    </w:p>
    <w:p>
      <w:r>
        <w:t xml:space="preserve">FRENCH REPUBLIC  </w:t>
        <w:br/>
        <w:t xml:space="preserve">Decision No. 12-DCC-95 of July 17, 2012  </w:t>
        <w:br/>
        <w:t>regarding the exclusive control of Darty Télécom by the Bouygues Group</w:t>
      </w:r>
    </w:p>
    <w:p>
      <w:r>
        <w:t xml:space="preserve">The Competition Authority,  </w:t>
        <w:br/>
        <w:t xml:space="preserve">Having regard to the notification file submitted in full to the merger service on June 12, 2012, regarding the exclusive control of Darty Télécom by Bouygues Télécom, formalized by a transfer agreement dated May 2, 2012;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Bouygues Télécom is a French public limited company (société anonyme) 89.5% owned by the Bouygues Group, which controls it, and 10.5% owned by JC Decaux SA. The Bouygues Group is active in construction (BTP, real estate, and roads), media, and telecommunications. Its main shareholders are, on the one hand, SCDM, the holding company of Messrs. Martin and Olivier Bouygues (21.1% of the capital and 29.6% of the voting rights) and, on the other hand, the employees of the Group. The subsidiary Bouygues Télécom is active in the electronic communications sector (mobile telephony and high and very high-speed multi-service Internet access offers).  </w:t>
        <w:br/>
        <w:t>2. Darty Télécom is a general partnership (société en nom collectif), 100% owned by the company Etablissements Darty et Fils (hereinafter "Darty"), which is itself 100% owned by the Kesa Electricals plc group. Established in 2005, Darty Télécom is an electronic communications operator, registered as such with ARCEP, which does not have any electronic communications network but provides electronic communications services, fixed offers (high and very high-speed multi-service Internet access offers) as well as mobile telephony offers.</w:t>
      </w:r>
    </w:p>
    <w:p>
      <w:r>
        <w:t xml:space="preserve">3. According to the terms of a transfer agreement dated May 2, 2012, concluded between Darty and Bouygues Télécom, Darty must transfer to Bouygues Télécom [...] shares representing 100% minus one share of the capital of Darty Télécom, with Darty retaining the residual share.  </w:t>
        <w:br/>
        <w:t xml:space="preserve">4. Pursuant to the shareholders' agreement concluded between Darty and Bouygues Télécom dated May 2, 2012, and the articles of association of Darty Télécom, as they appear in the draft revision submitted to the Authority, Darty will have the ability to appoint [Confidential] members of the steering committee of Darty Télécom responsible for the strategic and commercial policy of the company. [Confidential], Darty will not have a veto right within the steering committee where decisions will be made by a simple majority. [Confidential].  </w:t>
        <w:br/>
        <w:t xml:space="preserve">5. [Confidential].  </w:t>
        <w:br/>
        <w:t>6. In light of the above, the notified operation results in the exclusive control of Darty Télécom by the Bouygues group and constitutes a concentration within the meaning of Article L. 430-1 of the Commercial Code. The concerned companies have achieved a consolidated turnover excluding taxes worldwide of more than 150 million euros in the last closed financial year (Bouygues*: 32.706 billion euros for the financial year closed on December 31, 2011; Darty Télécom: [...] million euros for the financial year closed on April 30, 2011). Each of these companies has achieved, in France, a turnover exceeding 50 million euros (Bouygues*: 22.601 billion euros for the financial year closed on December 31, 2011; Darty Télécom: [...] million euros for the financial year closed on April 30, 2011).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7. Darty Télécom and Bouygues Télécom are simultaneously present in the electronic communications sector in which competition authorities distinguish, in addition to fixed telephony, mobile telephony activities and Internet access provision.  </w:t>
        <w:br/>
        <w:t xml:space="preserve">A. THE MARKETS FOR PRODUCTS AND SERVICES  </w:t>
        <w:br/>
        <w:t xml:space="preserve">1. THE MOBILE TELEPHONY SECTOR  </w:t>
        <w:br/>
        <w:t xml:space="preserve">8. In accordance with the practice of national competition authorities, the mobile telephony sector includes several distinct markets. In this case, the two markets potentially impacted by the present operation are the wholesale markets for access and call origination on mobile networks, as well as the retail market for mobile telephony.  </w:t>
        <w:br/>
        <w:t>* Material error corrected.</w:t>
      </w:r>
    </w:p>
    <w:p>
      <w:r>
        <w:t xml:space="preserve">a) The wholesale market for access and call origination on mobile telephone networks  </w:t>
        <w:br/>
        <w:t xml:space="preserve">9. The wholesale market for access and call origination on mobile networks includes "the services provided by a mobile network operator to an entity that does not have a frequency usage authorization for the area concerned in order to enable the latter to provide a set of relevant mobile access and call origination services at retail."  </w:t>
        <w:br/>
        <w:t xml:space="preserve">10. Thus, in this market already defined by national competition authorities, there is an offer provided by host mobile network operators holding an operating license and an ad hoc mobile network (MNO), and a demand constituted by virtual operators (or MVNO) who procure communication time. This is a market characterized by the conclusion of contracts on a case-by-case basis, following negotiations on the rates and services offered by the MNO to the future MVNO user of its network.  </w:t>
        <w:br/>
        <w:t xml:space="preserve">11. The notifying party also considers that it would be appropriate to include in this market the national roaming services provided by MNOs to other MNOs that need to complement the coverage of their own network.  </w:t>
        <w:br/>
        <w:t>12. In the context of the present operation, there is no need to challenge the delimitation envisaged by decision-making practice, as the analysis remains unchanged regardless of the assumptions made. Bouygues Télécom and Darty Télécom are not present at the same level in this market, and the competitive analysis will focus solely on the potential vertical effects of the operation.</w:t>
      </w:r>
    </w:p>
    <w:p>
      <w:r>
        <w:t xml:space="preserve">b) The retail market for mobile telephony  </w:t>
        <w:br/>
        <w:t xml:space="preserve">13. Community and national decision-making practice has consistently defined the retail market for telephony as that in which, on the one hand, an offer (from MNOs or MVNOs) for the provision of mobile telephony services meets, on the other hand, a demand constituted by end consumers, whether individuals or professionals.  </w:t>
        <w:br/>
        <w:t xml:space="preserve">14. The notifying party believes that the market should be segmented based on whether it concerns residential customers or not, arguing that certain professional clients, particularly large accounts, have more elaborate demands and seek "tailored" services through calls for tenders. According to the notifying party, most providers have dedicated sales teams solely for professional clients, while others specialize in a single customer segment, like the target of the operation, Darty Télécom, which only addresses individuals.  </w:t>
        <w:br/>
        <w:t xml:space="preserve">15. On the occasion of recent decisions, the Competition Authority has also observed that new offers have developed, having in common the ability to provide Internet access on the move and notably to the Web as well as messaging services (mail).  </w:t>
        <w:br/>
        <w:t xml:space="preserve">1 See the letter from the minister No. C2007-150 and the decisions of the Competition Authority No. 09-DCC-65 and No. 11-DCC-07.  </w:t>
        <w:br/>
        <w:t xml:space="preserve">2 MNO: Mobile Network Operator.  </w:t>
        <w:br/>
        <w:t xml:space="preserve">3 MVNO: Mobile Virtual Network Operator.  </w:t>
        <w:br/>
        <w:t xml:space="preserve">4 See in particular the decisions of the European Commission No. COMP/M.3916 T-Mobile Austria/Tele.ring of April 26, 2006, and No. COMP/M.5650 T-Mobile/Orange of March 1, 2010.  </w:t>
        <w:br/>
        <w:t xml:space="preserve">5 See in particular the letter from the minister No. C2007-150 of November 23, 2007, as well as the decisions of the Competition Authority No. 09-DCC-65 and No. 11-DCC-07.  </w:t>
        <w:br/>
        <w:t>6 See the decisions of the Competition Authority No. 11-DCC-07 and No. 11-DCC-118.</w:t>
      </w:r>
    </w:p>
    <w:p>
      <w:r>
        <w:rPr>
          <w:b/>
        </w:rPr>
        <w:t>[Pages 4–6]</w:t>
      </w:r>
    </w:p>
    <w:p>
      <w:r>
        <w:t>16. In the present case, these questions of market delineation can be left open, as the competitive analysis remains unchanged regardless of the assumptions made.</w:t>
      </w:r>
    </w:p>
    <w:p>
      <w:r>
        <w:t>2. THE INTERNET ACCESS SECTOR</w:t>
      </w:r>
    </w:p>
    <w:p>
      <w:r>
        <w:t>17. In the Internet access sector, decision-making practice distinguishes, in addition to wholesale markets, the markets for the provision of Internet access from the markets for the retail distribution of Internet access services. The latter market is not affected by the operation, as it does not involve Darty's distribution network, which will remain an independent network distributing offers from different operators.</w:t>
      </w:r>
    </w:p>
    <w:p>
      <w:r>
        <w:t>18. Regarding wholesale markets, the practice distinguishes, on the one hand, the wholesale market for broadband access provision and, on the other hand, the market for the provision of passive infrastructure. Only the former market is concerned by the operation.</w:t>
      </w:r>
    </w:p>
    <w:p>
      <w:r>
        <w:t>a) The wholesale broadband access markets</w:t>
      </w:r>
    </w:p>
    <w:p>
      <w:r>
        <w:t>19. Wholesale broadband access essentially includes access and collection services of the DSL type from the copper loop to which the end user is connected, flows that can be delivered at one or several delivery points.</w:t>
      </w:r>
    </w:p>
    <w:p>
      <w:r>
        <w:t>20. The Regulatory Authority for Electronic Communications and Posts (ARCEP) distinguishes three types of offers that decision-making practice considers as distinct markets: (i) the market for unbundling services, (ii) the market for DSL access and collection services delivered at a regional delivery point, and (iii) the market for DSL access and collection services delivered at a national delivery point. Only the latter market is concerned by the operation, from which operators without a telecommunications network, such as Darty Télécom, as well as operators with a very limited network, source their supplies. In a previous decision, the Authority had raised the question of the existence within this market of a segment comprising "turnkey" offers provided to "pure distributors" (such as Darty, Auchan, etc.) while noting that demand had remained stable, or even diminished since 2006. In this case, this question can be left open.</w:t>
      </w:r>
    </w:p>
    <w:p>
      <w:r>
        <w:t>21. Regarding markets (ii) and (iii), the notifying party believes, relying on a decision from ARCEP, that DSL access and collection service offers are substitutable for broadband and very high-speed access offers activated using fiber optic or coaxial cable, and that they belong to the same markets.</w:t>
      </w:r>
    </w:p>
    <w:p>
      <w:r>
        <w:t>22. In its opinion to ARCEP, the Competition Authority considers the possible substitutability of DSL-type services with fiber-type technology while stating that it is difficult to resolve the question of substitutability between the different activated wholesale offers. The Competition Authority suggests to ARCEP to leave this question as open as possible since it has no immediate implications in the regulation being considered.</w:t>
      </w:r>
    </w:p>
    <w:p>
      <w:r>
        <w:t>23. In this particular case, there is no need to challenge these market delineations. Bouygues Télécom is a marginal provider in the market for DSL collection services delivered at a national delivery point, where Darty Télécom is a demander.</w:t>
      </w:r>
    </w:p>
    <w:p>
      <w:r>
        <w:t>b) The Internet access provision markets</w:t>
      </w:r>
    </w:p>
    <w:p>
      <w:r>
        <w:t>24. According to the decision-making practice of competition authorities, it is appropriate to distinguish the market for low-speed Internet access provision (via the switched telephone network) from the market for high-speed and very high-speed Internet access provision (via cable, ADSL, and fiber technologies). Furthermore, the markets for Internet access provision can be segmented according to the type of customer (residential/professional).</w:t>
      </w:r>
    </w:p>
    <w:p>
      <w:r>
        <w:t>25. In this case, the operation leads to overlaps in activity only in the market for high-speed and very high-speed Internet access provision aimed at residential customers.</w:t>
      </w:r>
    </w:p>
    <w:p>
      <w:r>
        <w:t>26. This market includes all high-speed services, namely, in addition to Internet access, voice over IP services, television, and fixed telephony. These services are generally offered as part of a "triple-play" offer. These offers are evolving towards so-called "quadruple-play" offers that integrate an additional mobile telephony offer. The terms "multiservice offers" or "multiple-play offers" can also be used to designate this market. The question of a finer segmentation of this market based on each type of service can be raised, but it is not necessary to resolve it within the framework of this decision as it does not condition the conclusions of the analysis.</w:t>
      </w:r>
    </w:p>
    <w:p>
      <w:r>
        <w:t>B. GEOGRAPHICAL MARKETS</w:t>
      </w:r>
    </w:p>
    <w:p>
      <w:r>
        <w:t>1. THE MOBILE TELEPHONY SECTOR</w:t>
      </w:r>
    </w:p>
    <w:p>
      <w:r>
        <w:t>27. Regarding the wholesale market for access and call origination on mobile telephone networks, both community and national competition authorities have considered that this market has a metropolitan national dimension due to the homogeneous nature of the services offered, the similarity of the actors (customers and competitors), and the uniformity of pricing and marketing policies across the entire metropolitan national territory.</w:t>
      </w:r>
    </w:p>
    <w:p>
      <w:r>
        <w:t>28. Regarding the retail mobile telephony market, the European Commission has considered that this market is of national dimension, and national decision-making practice has specified that it should be limited to metropolitan France, the overseas departments, and the territorial communities of Mayotte and Saint Pierre and Miquelon, which have particularities that lead to distinguishing them from the mainland (geographical remoteness and isolation of the islands; meteorological, environmental, and sociological characteristics; specific penetration and start-up of mobile activity; regulatory framework regarding the granting of GSM frequency licenses, etc.).</w:t>
      </w:r>
    </w:p>
    <w:p>
      <w:r>
        <w:t>29. In this particular case, there is no need to challenge the geographical boundaries of these markets.</w:t>
      </w:r>
    </w:p>
    <w:p>
      <w:r>
        <w:t>2. THE INTERNET ACCESS SECTOR</w:t>
      </w:r>
    </w:p>
    <w:p>
      <w:r>
        <w:t>30. Regarding the wholesale broadband access markets, competition authorities have consistently considered that the geographical dimension of these markets is national. Indeed, as the minister indicated, the nature of the services offered is sufficiently homogeneous regardless of the part of the national territory where the offer meets the demand. Moreover, customers and competitors are the same in all regions and are distinguished only by the services offered.</w:t>
      </w:r>
    </w:p>
    <w:p>
      <w:r>
        <w:t>31. Regarding Internet access provision, the decision-making practice of competition authorities traditionally retains a national geographical dimension for these markets. Indeed, electronic communications operators, who operate on a national basis, offer services confined to a national territory and are subject to regulations specific to each country.</w:t>
      </w:r>
    </w:p>
    <w:p>
      <w:r>
        <w:t>32. However, the Competition Authority recently noted that "the competitive pressure exerted on the market is not homogeneous across the territory" and that "the differences in market shares observed between these areas [i.e., the unbundled and non-unbundled areas] reflect the heterogeneous capacity of competition to operate there, [...] which could justify the delineation of two distinct geographical markets."</w:t>
      </w:r>
    </w:p>
    <w:p>
      <w:r>
        <w:t>33. The notifying party also considers that the wholesale broadband access markets and the retail high-speed and very high-speed Internet access provision markets aimed at residential customers should be segmented according to whether these services are offered (i) in non-unbundled areas (or unbundled only by Free since the latter does not offer wholesale services) or (ii) in the rest of the territory where competition occurs among wholesale service providers.</w:t>
      </w:r>
    </w:p>
    <w:p>
      <w:r>
        <w:t>34. In this particular case, these questions can be left open, as the conclusions of the analysis remain unchanged regardless of the assumptions made.</w:t>
      </w:r>
    </w:p>
    <w:p>
      <w:r>
        <w:rPr>
          <w:b/>
        </w:rPr>
        <w:t>[Pages 7–9]</w:t>
      </w:r>
    </w:p>
    <w:p>
      <w:r>
        <w:t xml:space="preserve">III. Competitive Analysis  </w:t>
        <w:br/>
        <w:t xml:space="preserve">A. ANALYSIS OF HORIZONTAL EFFECTS  </w:t>
        <w:br/>
        <w:t xml:space="preserve">35. In light of the activities carried out by the parties, the operation entails horizontal overlaps in the retail markets for mobile telephony and the provision of Internet access.  </w:t>
        <w:br/>
        <w:t xml:space="preserve">36. In the retail market for mobile telephony, Bouygues Télécom's market share, [10-20]%, will be marginally strengthened by the operation, with Darty Télécom representing only [0-5]% of market share. Strong competing operators (Orange with [30-40]% market share, SFR with [30-40]%) will continue to exert competitive pressure on Bouygues Télécom. Furthermore, the recent entry of Free Mobile into this market is a factor that stimulates competition.  </w:t>
        <w:br/>
        <w:t xml:space="preserve">37. If one were to consider a segmentation by customer type, as proposed by the notifying party, the operation would have a very marginal impact on the residential customer segment to which the target exclusively addresses. The addition of market share would then be limited to [0-5]% and would bring Bouygues Télécom's market share to [10-20]% after the operation.  </w:t>
        <w:br/>
        <w:t xml:space="preserve">38. In the market for the provision of Internet access to individual customers, Bouygues Télécom's market share will rise to [5-10]% after the operation ([5-10]% for Bouygues Télécom, [0-5]% for Darty Télécom). The new entity will continue to face competition from significant operators such as Orange, SFR, Free, or Numéricâble. In the absence of public data on the number of residential subscribers of each of these competing operators, the notifying party has submitted their market shares in the overall Internet access market, across all customer segments, where individual customers represent on average more than 88% of the total number of subscribers. Orange, SFR, and Free represent respectively [40-50]%, [20-30]%, and [20-30]% of the market as defined.  </w:t>
        <w:br/>
        <w:t xml:space="preserve">39. The operation is therefore not likely to harm competition through horizontal effects.  </w:t>
        <w:br/>
        <w:t xml:space="preserve">B. ANALYSIS OF VERTICAL EFFECTS  </w:t>
        <w:br/>
        <w:t>40. In the wholesale market for access and call origination on mobile telephone networks, the present operation constitutes a vertical integration since a network operator (MNO) takes control of an operator comparable to an MVNO. It is therefore necessary to examine the risks of locking access to inputs for other MVNOs on the one hand, and to customers for other MNOs on the other hand.</w:t>
      </w:r>
    </w:p>
    <w:p>
      <w:r>
        <w:t xml:space="preserve">1. ON MOBILE MARKETS  </w:t>
        <w:br/>
        <w:t xml:space="preserve">41. Regarding access and call origination on mobile networks, Darty Télécom was, prior to the operation, a customer of a virtual operator integrator (MVNA), the company Sisteer, which is itself an MVNO of SFR.  </w:t>
        <w:br/>
        <w:t xml:space="preserve">42. Regardless of the network from which Darty Télécom will acquire the relevant services after the operation, it does not raise risks of locking access to a network for Darty Télécom's competitors. The subscribers of the MVNOs to which Bouygues Télécom sells access and call origination services on its network represented, in March 2012, [20-30]% of the total subscribers of MVNOs, with Orange and SFR being the leading providers in this market, while Darty Télécom's subscribers represent only [0-5]% of this total.  </w:t>
        <w:br/>
        <w:t xml:space="preserve">43. Furthermore, MNOs have made commitments to ARCEP in favor of MVNOs at the time of granting certain frequencies or licenses (residual 3G frequencies, 4G frequencies in the 2.6GHz band, 4G frequencies in the 800 MHz band, and Free Mobile under its 3G license). These commitments particularly concern the conditions for welcoming MVNOs, the pricing and contractual conditions offered to them so that competition in the wholesale market for welcoming MVNOs and the commercial autonomy of MVNOs in the retail market cannot be restricted "without objective justification."  </w:t>
        <w:br/>
        <w:t xml:space="preserve">44. The operation is also not likely to harm competition through a locking effect on access to customers that Bouygues Télécom's MNO competitors, particularly SFR, whose network is used by Darty Télécom, would suffer, given the low weight represented by Darty Télécom in this market as a buyer (purchase share of [0-5]%).  </w:t>
        <w:br/>
        <w:t xml:space="preserve">2. ON INTERNET MARKETS  </w:t>
        <w:br/>
        <w:t xml:space="preserve">45. In the wholesale markets for broadband Internet access provision, and specifically in the market for collection services delivered at a national delivery point, the only market concerned by the operation, Bouygues Télécom is present as a supplier and Darty Télécom as a demander. Prior to the operation, the target sourced white-label links from the networks Completel ([…] links for broadband) and Numéricâble ([…] links for very high speed), of which [Confidential] via ADSL and [Confidential] via cable. These links are intended solely for a residential clientele.  </w:t>
        <w:br/>
        <w:t xml:space="preserve">46. The notifying party was unable to estimate the size of this market, which is no longer regulated by ARCEP, with the last public data dating back to 2007. However, Bouygues Télécom only engages in a limited activity in this market where it provides […] white-label links, intended exclusively for a clientele of integrators (professional clientele). This activity appears marginal in relation to the size of the market as estimated in 2007 and represents a very small share of the acquirer's revenue (less than […]% of its 2011 revenue). The presence of competitors with a more developed wholesale offering of this type, such as Completel, SFR, or France Télécom, mitigates the risk that the operation will have an effect on the access conditions for Darty Télécom's competitors to this type of services.  </w:t>
        <w:br/>
        <w:t xml:space="preserve">47. Regarding the risk of locking access to customers, [Confidential]. In 2010, the Authority noted the decline of the wholesale market for broadband Internet access at a national delivery point in favor of wholesale offers related to unbundling and offers delivered at the regional level, a trend confirmed by the elements submitted by the notifying party. However, the internalization of the outlet represented by Darty Télécom would have only a limited effect on the activity of the main providers in this market, namely Completel-Numéricâble, France Télécom, and SFR.  </w:t>
        <w:br/>
        <w:t xml:space="preserve">48. The operation is therefore not likely to harm competition through vertical effects.  </w:t>
        <w:br/>
        <w:t xml:space="preserve">DECIDES  </w:t>
        <w:br/>
        <w:t xml:space="preserve">Sole Article: The operation notified under number 12-088 is authorized.  </w:t>
        <w:br/>
        <w:t xml:space="preserve">The President,  </w:t>
        <w:br/>
        <w:t xml:space="preserve">Bruno Lasserre  </w:t>
        <w:br/>
        <w:t xml:space="preserve">© Competition Authority  </w:t>
        <w:br/>
        <w:t>25 See decision 10-DCC-40, relying in particular on the aforementioned ARCEP decision n°2007-0889.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