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https://www.autoritedelaconcurrence.fr/fr/decision-de-controle-des-concentrations/relative-la-prise-de-controle-exclusif-de-deux-concessions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23-DCC-160 of August 1, 2023  </w:t>
        <w:br/>
        <w:t xml:space="preserve">regarding the exclusive control acquisition of two car dealerships  </w:t>
        <w:br/>
        <w:t xml:space="preserve">from the Bader group by the Hess Automobile group  </w:t>
        <w:br/>
        <w:t xml:space="preserve">The Competition Authority,  </w:t>
        <w:br/>
        <w:t xml:space="preserve">Having regard to the complete notification file sent to the mergers department on July 17, 2023,  </w:t>
        <w:br/>
        <w:t xml:space="preserve">concerning the exclusive control acquisition of two car dealerships from the Bader group by the  </w:t>
        <w:br/>
        <w:t xml:space="preserve">company Centrale Automobile Strasbourg, the parent company of the Hess Automobile group, formalized  </w:t>
        <w:br/>
        <w:t xml:space="preserve">by a letter of intent dated June 6,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two car dealerships  </w:t>
        <w:br/>
        <w:t xml:space="preserve">from the Bader group located in Colmar and Sausheim (68) by the Hess Automobile group.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retail control thresholds mentioned in  </w:t>
        <w:br/>
        <w:t xml:space="preserve">II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23-172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