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https://www.autoritedelaconcurrence.fr/fr/decision-de-controle-des-concentrations/relative-la-prise-de-controle-exclusif-de-deux-fonds-de-0</w:t>
      </w:r>
    </w:p>
    <w:p>
      <w:r>
        <w:t>Pages translated : 2</w:t>
      </w:r>
    </w:p>
    <w:p/>
    <w:p>
      <w:r>
        <w:rPr>
          <w:b/>
        </w:rPr>
        <w:t>[Pages 1–2]</w:t>
      </w:r>
    </w:p>
    <w:p>
      <w:r>
        <w:t xml:space="preserve">FRENCH REPUBLIC  </w:t>
        <w:br/>
        <w:t xml:space="preserve">Decision No. 12-DCC-87 of June 19, 2012  </w:t>
        <w:br/>
        <w:t xml:space="preserve">regarding the exclusive control acquisition of two automotive distribution businesses by the Société d’Investissement et de Participations d’Aquitaine  </w:t>
        <w:br/>
        <w:t xml:space="preserve">The Competition Authority,  </w:t>
        <w:br/>
        <w:t xml:space="preserve">Having regard to the notification file sent to the mergers department on April 20, 2012, and declared complete on May 29, 2012, concerning the exclusive control acquisition by the Société d’Investissement et de Participations d’Aquitaine (SIPA) of two automotive distribution businesses held by the company Établissements Lavillauroy SA, materialized by a bilateral promise of sale of business assets dated February 23, 2012;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two businesses for the distribution, maintenance, and repair of motor vehicles held by the company Établissements Lavillauroy and located respectively in the cities of Lescar (64) and Tarbes (65) by the company SIPA, which is itself active in automotive distribution through several dealerships located in the southwest of France. It constitutes a concentration operation within the meaning of Article L. 430-1 of the Commercial Code. Given the turnover achieved by the companies concerned, the operation does not have a community dimension.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12-064 is authorized.  </w:t>
        <w:br/>
        <w:t xml:space="preserve">The Vice-President,  </w:t>
        <w:br/>
        <w:t xml:space="preserve">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