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w:t>
      </w:r>
    </w:p>
    <w:p>
      <w:r>
        <w:t>Pages translated : 2</w:t>
      </w:r>
    </w:p>
    <w:p/>
    <w:p>
      <w:r>
        <w:rPr>
          <w:b/>
        </w:rPr>
        <w:t>[Pages 1–2]</w:t>
      </w:r>
    </w:p>
    <w:p>
      <w:r>
        <w:t xml:space="preserve">FRENCH REPUBLIC  </w:t>
        <w:br/>
        <w:t xml:space="preserve">Decision No. 13-DCC-14 of February 8, 2013  </w:t>
        <w:br/>
        <w:t xml:space="preserve">regarding the exclusive acquisition of control over two business assets  </w:t>
        <w:br/>
        <w:t xml:space="preserve">from MSA Groupe by the company Robert Rousseau Automobile  </w:t>
        <w:br/>
        <w:t xml:space="preserve">The Competition Authority,  </w:t>
        <w:br/>
        <w:t xml:space="preserve">Having regard to the complete notification file submitted to the mergers department on January 15, 2013,  </w:t>
        <w:br/>
        <w:t xml:space="preserve">concerning the exclusive acquisition of control over two business assets from MSA Groupe by  </w:t>
        <w:br/>
        <w:t xml:space="preserve">the company Robert Rousseau Automobile, formalized by a promise of sale dated  </w:t>
        <w:br/>
        <w:t xml:space="preserve">January 9, 2013;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acquisition of control over two automotive distribution business assets located in the department of Val d’Oise (95) by the company Robert Rousseau Automobile, which itself operates dealerships distributing various brands of motor vehicles in the same department.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13-006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