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https://www.autoritedelaconcurrence.fr/fr/decision-de-controle-des-concentrations/relative-la-prise-de-controle-exclusif-de-deux-fonds-de-10</w:t>
      </w:r>
    </w:p>
    <w:p>
      <w:r>
        <w:t>Pages translated : 2</w:t>
      </w:r>
    </w:p>
    <w:p/>
    <w:p>
      <w:r>
        <w:rPr>
          <w:b/>
        </w:rPr>
        <w:t>[Pages 1–2]</w:t>
      </w:r>
    </w:p>
    <w:p>
      <w:r>
        <w:t xml:space="preserve">FRENCH REPUBLIC  </w:t>
        <w:br/>
        <w:t xml:space="preserve">Decision No. 15-DCC-45 of May 12, 2015  </w:t>
        <w:br/>
        <w:t xml:space="preserve">regarding the exclusive control acquisition  </w:t>
        <w:br/>
        <w:t xml:space="preserve">of two Lexus and Toyota business assets located in Roncq and Lille  </w:t>
        <w:br/>
        <w:t xml:space="preserve">by the company Holding Toys Investissements  </w:t>
        <w:br/>
        <w:t xml:space="preserve">The Competition Authority,  </w:t>
        <w:br/>
        <w:t xml:space="preserve">Having regard to the complete notification file sent to the mergers department on April 17, 2015,  </w:t>
        <w:br/>
        <w:t xml:space="preserve">concerning the exclusive control acquisition of two Lexus and Toyota business assets located in  </w:t>
        <w:br/>
        <w:t xml:space="preserve">Roncq and Lille by the company Holding Toys Investissements and formalized by a letter  </w:t>
        <w:br/>
        <w:t xml:space="preserve">of intent dated April 15,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two automotive distribution business assets of the brands Lexus and Toyota operated by the company Mondial Diffusion in the Nord department (59) by the company Holding Toys Investissements controlling several car dealerships in several French departments, including Nord. This operation constitutes a concentration within the meaning of Article L. 430-1 of the Commercial Code. Given the turnover generated by the companies concerned, the operation does not fall under the jurisdiction of the European Union. On the other hand,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15-061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