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https://www.autoritedelaconcurrence.fr/fr/decision-de-controle-des-concentrations/relative-la-prise-de-controle-exclusif-de-deux-fonds-de-11</w:t>
      </w:r>
    </w:p>
    <w:p>
      <w:r>
        <w:t>Pages translated : 4</w:t>
      </w:r>
    </w:p>
    <w:p/>
    <w:p>
      <w:r>
        <w:rPr>
          <w:b/>
        </w:rPr>
        <w:t>[Pages 1–3]</w:t>
      </w:r>
    </w:p>
    <w:p>
      <w:r>
        <w:t xml:space="preserve">FRENCH REPUBLIC  </w:t>
        <w:br/>
        <w:t xml:space="preserve">Decision No. 17-DCC-213 of December 20, 2017  </w:t>
        <w:br/>
        <w:t xml:space="preserve">regarding the exclusive control of two businesses of  </w:t>
        <w:br/>
        <w:t xml:space="preserve">PSA Retail France by NDK  </w:t>
        <w:br/>
        <w:t xml:space="preserve">The Competition Authority,  </w:t>
        <w:br/>
        <w:t xml:space="preserve">Having regard to the notification file submitted in full to the merger service on  </w:t>
        <w:br/>
        <w:t xml:space="preserve">November 28, 2017, regarding the exclusive control of two businesses of  </w:t>
        <w:br/>
        <w:t xml:space="preserve">PSA Retail France by NDK, formalized by two reciprocal promises  </w:t>
        <w:br/>
        <w:t xml:space="preserve">of transfer dated November 23, 2017;  </w:t>
        <w:br/>
        <w:t xml:space="preserve">Having regard to Book IV of the Commercial Code relating to price freedom and competition, and  </w:t>
        <w:br/>
        <w:t xml:space="preserve">notably its Articles L. 430-1 to L. 430-7;  </w:t>
        <w:br/>
        <w:t xml:space="preserve">Having regard to the elements submitted during the investigation by the notifying party;  </w:t>
        <w:br/>
        <w:t xml:space="preserve">Having regard to the other documents in the file:  </w:t>
        <w:br/>
        <w:t xml:space="preserve">Adopts the following decision:  </w:t>
        <w:br/>
        <w:t xml:space="preserve">I. The companies concerned and the transaction  </w:t>
        <w:br/>
        <w:t xml:space="preserve">1. NDK is a public limited company, at the head of the Tressol-Chabrier family group, which is active  </w:t>
        <w:br/>
        <w:t xml:space="preserve">in the sectors of distribution, maintenance, and repair of motor vehicles in the South  </w:t>
        <w:br/>
        <w:t xml:space="preserve">of France. It controls 26 companies, which operate car dealerships under numerous brands1. NDK is 97% owned by SFPC and 3% by Mmes  </w:t>
        <w:br/>
        <w:t xml:space="preserve">Chabrier and Tressol. The company SFPC is wholly owned by individuals  </w:t>
        <w:br/>
        <w:t xml:space="preserve">who are members of the Chabrier family.  </w:t>
        <w:br/>
        <w:t xml:space="preserve">2. The target businesses operate car dealerships for Peugeot, Citroën, and DS brands (PSA group), located in Montpellier (34), Le Crès (34), and Mauguio (34). They are  </w:t>
        <w:br/>
        <w:t xml:space="preserve">currently owned by PSA Retail France.  </w:t>
        <w:br/>
        <w:t xml:space="preserve">1 Notable brands include, among others: Citroën, Peugeot, Dacia, Renault, Volkswagen, Audi, Skoda, Seat, Fiat, Honda, Opel, Kia, Mitsubishi, Honda,  </w:t>
        <w:br/>
        <w:t>Hyundai, Suzuki, or Volvo.</w:t>
      </w:r>
    </w:p>
    <w:p>
      <w:r>
        <w:t xml:space="preserve">3. The transaction, formalized by two reciprocal promises of transfer, involves  </w:t>
        <w:br/>
        <w:t xml:space="preserve">the acquisition by NDK of two businesses operated by PSA Retail France. As it results in the exclusive control of the target businesses by NDK,  </w:t>
        <w:br/>
        <w:t xml:space="preserve">the notified transaction constitutes a concentration within the meaning of Article L. 430-1 of the Commercial Code.  </w:t>
        <w:br/>
        <w:t xml:space="preserve">4. The companies concerned together achieve a total worldwide turnover of  </w:t>
        <w:br/>
        <w:t xml:space="preserve">more than 75 million euros (NDK: 517 million euros for the fiscal year ending  </w:t>
        <w:br/>
        <w:t xml:space="preserve">December 31, 2016; the target businesses: 109 million euros for the same  </w:t>
        <w:br/>
        <w:t xml:space="preserve">fiscal year). Each of these companies achieves a turnover in France exceeding 15  </w:t>
        <w:br/>
        <w:t xml:space="preserve">million euros (NDK: 517 million euros for the fiscal year ending December 31, 2016; the  </w:t>
        <w:br/>
        <w:t xml:space="preserve">target businesses: 109 million euros for the same fiscal year). Given these  </w:t>
        <w:br/>
        <w:t xml:space="preserve">turnover figures, the transaction does not fall under the jurisdiction of the European Union. However, the retail control thresholds mentioned in point II of Article  </w:t>
        <w:br/>
        <w:t xml:space="preserve">L. 430-2 of the Commercial Code are exceeded. This transaction is therefore subject to  </w:t>
        <w:br/>
        <w:t xml:space="preserve">the provisions of Articles L. 430-3 and following of the Commercial Code relating to economic concentration.  </w:t>
        <w:br/>
        <w:t xml:space="preserve">II. Definition of relevant markets  </w:t>
        <w:br/>
        <w:t xml:space="preserve">A. PRODUCT AND SERVICE MARKETS  </w:t>
        <w:br/>
        <w:t xml:space="preserve">5. In the automotive distribution sector, the decision-making practice of the Authority distinguishes  </w:t>
        <w:br/>
        <w:t xml:space="preserve">(i) the distribution of new passenger vehicles intended for individual customers; (ii) the distribution of new passenger vehicles intended for professional customers; (iii) the distribution of commercial vehicles; (iv) the distribution of used vehicles; (v) the distribution of spare parts and automotive accessories; (vi) maintenance and repair services for motor vehicles; (vii) rental services2.  </w:t>
        <w:br/>
        <w:t xml:space="preserve">6. There is no need to challenge these definitions during the examination of the present  </w:t>
        <w:br/>
        <w:t xml:space="preserve">transaction.  </w:t>
        <w:br/>
        <w:t xml:space="preserve">7. The companies concerned are simultaneously active in all of these markets, except for rental services.  </w:t>
        <w:br/>
        <w:t xml:space="preserve">B. GEOGRAPHICAL MARKETS  </w:t>
        <w:br/>
        <w:t xml:space="preserve">8. Regarding the retail sale of new or used motor vehicles, spare parts and automotive accessories, and maintenance and repair services for vehicles,  </w:t>
        <w:br/>
        <w:t xml:space="preserve">the decision-making practice of the Authority adopts a local definition, with the analysis  </w:t>
        <w:br/>
        <w:t xml:space="preserve">generally being conducted at the departmental level3.  </w:t>
        <w:br/>
        <w:t xml:space="preserve">9. Furthermore, when the purchaser is active in the neighboring departments of those in which  </w:t>
        <w:br/>
        <w:t xml:space="preserve">the targets are present, the Authority conducts a competitive analysis on a market extended to  </w:t>
        <w:br/>
        <w:t xml:space="preserve">all of these departments.  </w:t>
        <w:br/>
        <w:t xml:space="preserve">10. In the present case, the parties are simultaneously active in the department of Hérault (34). Additionally, NDK operates car dealerships in the department of Aude (11). The competitive analysis will therefore be conducted on the department of Hérault (34) and on a market  </w:t>
        <w:br/>
        <w:t xml:space="preserve">comprising the departments of Hérault (34) and Aude (11).  </w:t>
        <w:br/>
        <w:t xml:space="preserve">III. Competitive Analysis  </w:t>
        <w:br/>
        <w:t xml:space="preserve">A. VEHICLE SALES MARKETS  </w:t>
        <w:br/>
        <w:t xml:space="preserve">11. Regarding the calculation of market shares, the decision-making practice of the Authority uses  </w:t>
        <w:br/>
        <w:t xml:space="preserve">as an indicator the ratio between the sales of new vehicles made by the parties in the  </w:t>
        <w:br/>
        <w:t xml:space="preserve">departments concerned by the transaction and the total registrations of new vehicles  </w:t>
        <w:br/>
        <w:t xml:space="preserve">recorded in these same departments by the prefectures4.  </w:t>
        <w:br/>
        <w:t xml:space="preserve">12. In the various markets concerned by the transaction, the parties to the concentration hold  </w:t>
        <w:br/>
        <w:t xml:space="preserve">the following market shares:  </w:t>
        <w:br/>
        <w:t xml:space="preserve">Hérault (34) and  </w:t>
        <w:br/>
        <w:t xml:space="preserve">Hérault (34)  </w:t>
        <w:br/>
        <w:t xml:space="preserve">Aude (11)  </w:t>
        <w:br/>
        <w:t xml:space="preserve">Market share in number of  </w:t>
        <w:br/>
        <w:t xml:space="preserve">vehicles sold Target  </w:t>
        <w:br/>
        <w:t xml:space="preserve">NDK businesses Cumulative Cumulative  </w:t>
        <w:br/>
        <w:t xml:space="preserve">Distribution of new passenger vehicles to 20.51% 9.18% 29.69% 28.35%  </w:t>
        <w:br/>
        <w:t xml:space="preserve">individual customers  </w:t>
        <w:br/>
        <w:t xml:space="preserve">Distribution of new passenger vehicles intended for 6.83% 16.92% 23.74% 20.66%  </w:t>
        <w:br/>
        <w:t xml:space="preserve">professional customers  </w:t>
        <w:br/>
        <w:t xml:space="preserve">Distribution of commercial vehicles 9.11% 17.69% 26.79% 23.82%  </w:t>
        <w:br/>
        <w:t xml:space="preserve">Distribution of used vehicles 2.81% 1.48% 4.29% 4.61%  </w:t>
        <w:br/>
        <w:t xml:space="preserve">13. The market shares of the new entity will be below 30% in the department of  </w:t>
        <w:br/>
        <w:t xml:space="preserve">Hérault (34) across all relevant markets, as well as in a territory comprising the  </w:t>
        <w:br/>
        <w:t xml:space="preserve">3 Ibid.  </w:t>
        <w:br/>
        <w:t>4 See decisions No. 16-DCC-68 and No. 15-DCC-143 cited above.</w:t>
      </w:r>
    </w:p>
    <w:p>
      <w:r>
        <w:rPr>
          <w:b/>
        </w:rPr>
        <w:t>[Pages 4–4]</w:t>
      </w:r>
    </w:p>
    <w:p>
      <w:r>
        <w:t xml:space="preserve">biles  </w:t>
        <w:br/>
        <w:t xml:space="preserve">2.81% 1.48% 4.29% 4.61%  </w:t>
        <w:br/>
        <w:t xml:space="preserve">used  </w:t>
        <w:br/>
        <w:t xml:space="preserve">13. The market shares of the new entity will be below 30% in the department of Hérault (34) across all relevant markets, as well as in a territory comprising the departments of Hérault (34) and Aude (11). Furthermore, the new entity will continue to face competition from other independent Peugeot dealers, three of which are present in the department of Hérault5, as well as from dealers of competing brands.  </w:t>
        <w:br/>
        <w:t xml:space="preserve">14. The transaction is therefore not likely to harm competition in the vehicle sales markets.  </w:t>
        <w:br/>
        <w:t xml:space="preserve">B. MARKETS FOR THE SALE OF SPARE PARTS AND MAINTENANCE AND REPAIR SERVICES  </w:t>
        <w:br/>
        <w:t xml:space="preserve">15. In the retail market for automotive spare parts and accessories and in the market for maintenance and repair services for motor vehicles, the parties have not been able to provide their market shares. However, the new entity will continue to face competition, in the relevant departments, from several other dealers and numerous independent garages and repairers, as well as from specialized brands such as Speedy, Norauto, Midas, or Feu Vert, which may offer consumers identical or equivalent quality spare parts and accessories, and maintenance and repair services for motor vehicles similar to those provided by NDK.  </w:t>
        <w:br/>
        <w:t xml:space="preserve">16. Given the above elements, the transaction is not likely to harm competition in the markets for the sale of spare parts and automotive maintenance and repair services.  </w:t>
        <w:br/>
        <w:t xml:space="preserve">DECIDES  </w:t>
        <w:br/>
        <w:t xml:space="preserve">Sole Article: The transaction notified under number 17-248 is authorized.  </w:t>
        <w:br/>
        <w:t xml:space="preserve">The Vice-President,  </w:t>
        <w:br/>
        <w:t xml:space="preserve">Claire Favre  </w:t>
        <w:br/>
        <w:t xml:space="preserve">© Competition Authority  </w:t>
        <w:br/>
        <w:t>5 The brands Citroën and DS are also owned by the PSA group, which owns the Peugeot brand.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