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https://www.autoritedelaconcurrence.fr/fr/decision-de-controle-des-concentrations/relative-la-prise-de-controle-exclusif-de-deux-fonds-de-12</w:t>
      </w:r>
    </w:p>
    <w:p>
      <w:r>
        <w:t>Pages translated : 2</w:t>
      </w:r>
    </w:p>
    <w:p/>
    <w:p>
      <w:r>
        <w:rPr>
          <w:b/>
        </w:rPr>
        <w:t>[Pages 1–2]</w:t>
      </w:r>
    </w:p>
    <w:p>
      <w:r>
        <w:t xml:space="preserve">FRENCH REPUBLIC  </w:t>
        <w:br/>
        <w:t xml:space="preserve">Decision No. 17-DCC-30 of March 2, 2017  </w:t>
        <w:br/>
        <w:t xml:space="preserve">regarding the exclusive control acquisition of two automobile distribution businesses by the Aubery group  </w:t>
        <w:br/>
        <w:t xml:space="preserve">The Competition Authority,  </w:t>
        <w:br/>
        <w:t xml:space="preserve">Having regard to the complete notification file submitted to the mergers department on February 6, 2017, concerning the exclusive control acquisition of two automobile distribution businesses by the Aubery group, formalized by a letter of intent dated December 16, 2016;  </w:t>
        <w:br/>
        <w:t xml:space="preserve">Having regard to Book IV of the Commercial Code relating to the freedom of prices and competition, and in particular its Articles L. 430-1 to L. 430-7;  </w:t>
        <w:br/>
        <w:t xml:space="preserve">Adopts the following decision:  </w:t>
        <w:br/>
        <w:t xml:space="preserve">1. The notified transaction consists of the acquisition by the Aubery group of two Toyota automobile distribution businesses located in the Alpes-Maritimes department (06). This transaction constitutes a concentration operation within the meaning of Article L. 430-1 of the Commercial Code. Given the turnover achieved by the companies concerned, the transaction does not fall under the jurisdiction of the European Union. On the other hand, the retail control thresholds mentioned in point II of Article L. 430-2 of the Commercial Code are exceeded. This transaction is therefore subject to the provisions of Articles L. 430-3 and following of the Commercial Code relating to economic concentration.  </w:t>
        <w:br/>
        <w:t>2. In light of the elements of the file, the transaction is not likely to harm competition in the relevant markets.</w:t>
      </w:r>
    </w:p>
    <w:p>
      <w:r>
        <w:t xml:space="preserve">DECIDES  </w:t>
        <w:br/>
        <w:t xml:space="preserve">Sole Article: The notified transaction under number 17-013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