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https://www.autoritedelaconcurrence.fr/fr/decision-de-controle-des-concentrations/relative-la-prise-de-controle-exclusif-de-deux-fonds-de-13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18-DCC-175 of October 24, 2018  </w:t>
        <w:br/>
        <w:t xml:space="preserve">regarding the exclusive control acquisition of two business assets of the  </w:t>
        <w:br/>
        <w:t xml:space="preserve">Société Automobile du Garage de l’Alma SAS by the company Holding  </w:t>
        <w:br/>
        <w:t xml:space="preserve">Famille Trujas SAS  </w:t>
        <w:br/>
        <w:t xml:space="preserve">The Competition Authority,  </w:t>
        <w:br/>
        <w:t xml:space="preserve">Having regard to the complete notification file sent to the mergers department on October 8, 2018,  </w:t>
        <w:br/>
        <w:t xml:space="preserve">concerning the exclusive control acquisition of two business assets of the Société Automobile du  </w:t>
        <w:br/>
        <w:t xml:space="preserve">Garage de l’Alma (hereinafter "Saga SAS") by the company Holding Famille Trujas SAS and  </w:t>
        <w:br/>
        <w:t xml:space="preserve">materialized by two reciprocal promises of sale dated August 15, 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transmitted during the investigation by the notifying party;  </w:t>
        <w:br/>
        <w:t xml:space="preserve">Adopts the following decision:  </w:t>
        <w:br/>
        <w:t xml:space="preserve">1. The notified operation consists of the exclusive control acquisition by the company Holding Famille  </w:t>
        <w:br/>
        <w:t xml:space="preserve">Trujas SAS of two business assets for the purchase, sale, repair, and maintenance of  </w:t>
        <w:br/>
        <w:t xml:space="preserve">new Citroën vehicles and used vehicles of all brands in the department of Val-de-Marne (94), held by  </w:t>
        <w:br/>
        <w:t xml:space="preserve">the company Saga SAS. It constitutes a concentration operation within the meaning of Article L. 430-1 of the  </w:t>
        <w:br/>
        <w:t xml:space="preserve">Commercial Code. Given the turnover achieved by the companies concerned, the operation does not fall  </w:t>
        <w:br/>
        <w:t xml:space="preserve">under the jurisdiction of the European Union. On the other hand, the control thresholds related to retail  </w:t>
        <w:br/>
        <w:t xml:space="preserve">trade mentioned in point II of Article L. 430-2 of the Commercial Code are exceeded. This  </w:t>
        <w:br/>
        <w:t xml:space="preserve">operation is therefore subject to the provisions of Articles L. 430-3 and following of the Commercial  </w:t>
        <w:br/>
        <w:t xml:space="preserve">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18-210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