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https://www.autoritedelaconcurrence.fr/fr/decision-de-controle-des-concentrations/relative-la-prise-de-controle-exclusif-de-deux-fonds-de-14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REPUBLIC OF FRANCE  </w:t>
        <w:br/>
        <w:t xml:space="preserve">Decision No. 18-DCC-49 of April 6, 2018  </w:t>
        <w:br/>
        <w:t xml:space="preserve">regarding the exclusive control acquisition of two business assets of the  </w:t>
        <w:br/>
        <w:t xml:space="preserve">Peugeot group by the company Holding Famille Trujas SAS  </w:t>
        <w:br/>
        <w:t xml:space="preserve">The Competition Authority,  </w:t>
        <w:br/>
        <w:t xml:space="preserve">Having regard to the complete notification file submitted to the mergers department on March 9, 2018,  </w:t>
        <w:br/>
        <w:t xml:space="preserve">concerning the exclusive control acquisition of two business assets of the Peugeot group by the  </w:t>
        <w:br/>
        <w:t xml:space="preserve">company Holding Famille Trujas SAS and formalized by two reciprocal promises of sale dated February 15, 2018;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Having regard to the elements submitted during the investigation by the notifying party;  </w:t>
        <w:br/>
        <w:t xml:space="preserve">Adopts the following decision:  </w:t>
        <w:br/>
        <w:t xml:space="preserve">1. The notified operation consists of the exclusive control acquisition by the company Holding Famille  </w:t>
        <w:br/>
        <w:t xml:space="preserve">Trujas SAS of two business assets of the Peugeot group operating two Peugeot brand car dealerships in the department of Essonne (91) and Val-de-Marne (94).  </w:t>
        <w:br/>
        <w:t xml:space="preserve">It constitutes a concentration operation within the meaning of Article L. 430-1 of the Commercial Code. Given the turnover achieved by the concerned companies,  </w:t>
        <w:br/>
        <w:t xml:space="preserve">the operation does not fall under the jurisdiction of the European Union. On the other hand, the retail control thresholds mentioned in point II of Article L. 430-2 of the Commercial Code are exceeded. This operation is therefore subject to the provisions of Articles  </w:t>
        <w:br/>
        <w:t xml:space="preserve">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18-033 is authorized.  </w:t>
        <w:br/>
        <w:t xml:space="preserve">The President,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