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https://www.autoritedelaconcurrence.fr/fr/decision-de-controle-des-concentrations/relative-la-prise-de-controle-exclusif-de-deux-fonds-de-16</w:t>
      </w:r>
    </w:p>
    <w:p>
      <w:r>
        <w:t>Pages translated : 2</w:t>
      </w:r>
    </w:p>
    <w:p/>
    <w:p>
      <w:r>
        <w:rPr>
          <w:b/>
        </w:rPr>
        <w:t>[Pages 1–2]</w:t>
      </w:r>
    </w:p>
    <w:p>
      <w:r>
        <w:t xml:space="preserve">FRENCH REPUBLIC  </w:t>
        <w:br/>
        <w:t xml:space="preserve">Decision No. 21-DCC-05 of January 11, 2021  </w:t>
        <w:br/>
        <w:t xml:space="preserve">regarding the exclusive acquisition of control over two predominantly food retail businesses by the company Lidl France  </w:t>
        <w:br/>
        <w:t xml:space="preserve">The Competition Authority,  </w:t>
        <w:br/>
        <w:t xml:space="preserve">Having regard to the complete notification file submitted to the mergers department on December 29, 2020, concerning the exclusive acquisition of control over two predominantly food retail businesses by the company Lidl France, formalized by a reiterative transfer deed dated June 22, 2020, and a transfer agreement dated November 30, 2020;  </w:t>
        <w:br/>
        <w:t xml:space="preserve">Having regard to Book IV of the Commercial Code relating to the freedom of prices and competition, and in particular its Articles L. 430-1 to L. 430-7;  </w:t>
        <w:br/>
        <w:t xml:space="preserve">Adopts the following decision:  </w:t>
        <w:br/>
        <w:t xml:space="preserve">1. The notified operation consists of the exclusive acquisition of control by the company Lidl France over two predominantly food retail businesses of supermarket type under the Intermarché group brand, which were previously controlled by the latter, with areas of 1,542 m² and 2,097 m², located respectively in Melun (77) and Le Boulou (66). It constitutes a concentration operation within the meaning of Article L. 430-1 of the Commercial Code. Given the turnover generated by the companies concerned, the operation does not fall under the jurisdiction of the European Union. However, the control thresholds related to retail trade mentioned in point II of Article L. 430-2 of the Commercial Code are exceeded. The present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20-261 is authorized.  </w:t>
        <w:br/>
        <w:t xml:space="preserve">The President,  </w:t>
        <w:br/>
        <w:t xml:space="preserve">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