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https://www.autoritedelaconcurrence.fr/fr/decision-de-controle-des-concentrations/relative-la-prise-de-controle-exclusif-de-deux-fonds-de-18</w:t>
      </w:r>
    </w:p>
    <w:p>
      <w:r>
        <w:t>Pages translated : 2</w:t>
      </w:r>
    </w:p>
    <w:p/>
    <w:p>
      <w:r>
        <w:rPr>
          <w:b/>
        </w:rPr>
        <w:t>[Pages 1–2]</w:t>
      </w:r>
    </w:p>
    <w:p>
      <w:r>
        <w:t xml:space="preserve">FRENCH REPUBLIC  </w:t>
        <w:br/>
        <w:t xml:space="preserve">Decision No. 21-DCC-99 of June 23, 2021  </w:t>
        <w:br/>
        <w:t xml:space="preserve">regarding the exclusive control acquisition of two automobile dealership businesses by the Moretto group  </w:t>
        <w:br/>
        <w:t xml:space="preserve">The Competition Authority,  </w:t>
        <w:br/>
        <w:t xml:space="preserve">Having regard to the complete notification file sent to the mergers department on June 4, 2021, concerning the exclusive control acquisition of two automobile dealership businesses by the company JM Automobiles 57, formalized by two business transfer agreements dated May 10,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automobile dealership businesses operated by the companies Lehmann Automobiles and Sarreguemines Auto, respectively located in Stiring-Wendel (57) and Sarreguemines (57), by the company JM Automobiles 57, a subsidiary of the Moretto group, which is itself active in the sector of automobile distribution and repair.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21-046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