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https://www.autoritedelaconcurrence.fr/fr/decision-de-controle-des-concentrations/relative-la-prise-de-controle-exclusif-de-deux-fonds-de-19</w:t>
      </w:r>
    </w:p>
    <w:p>
      <w:r>
        <w:t>Pages translated : 2</w:t>
      </w:r>
    </w:p>
    <w:p/>
    <w:p>
      <w:r>
        <w:rPr>
          <w:b/>
        </w:rPr>
        <w:t>[Pages 1–2]</w:t>
      </w:r>
    </w:p>
    <w:p>
      <w:r>
        <w:t xml:space="preserve">FRENCH REPUBLIC  </w:t>
        <w:br/>
        <w:t xml:space="preserve">Decision No. 21-DCC-108 of June 23, 2021  </w:t>
        <w:br/>
        <w:t>regarding the exclusive control acquisition of two car dealership businesses by the Jean Rouyer group</w:t>
      </w:r>
    </w:p>
    <w:p>
      <w:r>
        <w:t>The Competition Authority,</w:t>
      </w:r>
    </w:p>
    <w:p>
      <w:r>
        <w:t>Having regard to the notification file sent to the mergers department on May 12, 2021, and declared complete on June 9, 2021, concerning the exclusive control acquisition of two car dealership businesses by the company Sofisa, formalized by a letter of intent dated April 22, 2021;</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exclusive control acquisition of the car dealership businesses of the company Renault Retail Group, located in Carquefou (44470) and Saint-Herblain (44801), by the company Sofisa, holding of the Jean Rouyer group, which is active in the sector of distribution and repair of motor vehicles.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21-099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