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https://www.autoritedelaconcurrence.fr/fr/decision-de-controle-des-concentrations/relative-la-prise-de-controle-exclusif-de-deux-fonds-de-21</w:t>
      </w:r>
    </w:p>
    <w:p>
      <w:r>
        <w:t>Pages translated : 2</w:t>
      </w:r>
    </w:p>
    <w:p/>
    <w:p>
      <w:r>
        <w:rPr>
          <w:b/>
        </w:rPr>
        <w:t>[Pages 1–2]</w:t>
      </w:r>
    </w:p>
    <w:p>
      <w:r>
        <w:t xml:space="preserve">FRENCH REPUBLIC  </w:t>
        <w:br/>
        <w:t xml:space="preserve">Decision No. 21-DCC-239 of December 9, 2021  </w:t>
        <w:br/>
        <w:t xml:space="preserve">regarding the exclusive control acquisition of two car dealership businesses by the company JPC Évolution  </w:t>
        <w:br/>
        <w:t xml:space="preserve">The Competition Authority,  </w:t>
        <w:br/>
        <w:t xml:space="preserve">Having regard to the complete notification file submitted to the mergers department on November 23, 2021, concerning the exclusive control acquisition of two car dealership businesses by the company JPC Evolution, formalized by a transfer agreement dated July 9, 2021;  </w:t>
        <w:br/>
        <w:t xml:space="preserve">Having regard to Book IV of the Commercial Code relating to the freedom of prices and competition, and in particular its Articles L. 430-1 to L. 430-7;  </w:t>
        <w:br/>
        <w:t xml:space="preserve">Having regard to the additional elements provided by the notifying party during the investigation;  </w:t>
        <w:br/>
        <w:t xml:space="preserve">Adopts the following decision:  </w:t>
        <w:br/>
        <w:t xml:space="preserve">1. The notified operation consists of the exclusive control acquisition by the company JPC Evolution, a subsidiary of the company Car Expansion, active in the automotive distribution sector, of two car dealership businesses under the brands Opel, Seat, Cupra, Nissan, and Hyundai, operating in Longuenesse (62).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21-223 is authorized.  </w:t>
        <w:br/>
        <w:t xml:space="preserve">The interim 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