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https://www.autoritedelaconcurrence.fr/fr/decision-de-controle-des-concentrations/relative-la-prise-de-controle-exclusif-de-deux-fonds-de-22</w:t>
      </w:r>
    </w:p>
    <w:p>
      <w:r>
        <w:t>Pages translated : 2</w:t>
      </w:r>
    </w:p>
    <w:p/>
    <w:p>
      <w:r>
        <w:rPr>
          <w:b/>
        </w:rPr>
        <w:t>[Pages 1–2]</w:t>
      </w:r>
    </w:p>
    <w:p>
      <w:r>
        <w:t xml:space="preserve">FRENCH REPUBLIC  </w:t>
        <w:br/>
        <w:t xml:space="preserve">Decision No. 22-DCC-166 of August 31, 2022  </w:t>
        <w:br/>
        <w:t xml:space="preserve">regarding the exclusive control acquisition of two car dealership businesses by the company  </w:t>
        <w:br/>
        <w:t xml:space="preserve">Holding Famille Trujas  </w:t>
        <w:br/>
        <w:t xml:space="preserve">The Competition Authority,  </w:t>
        <w:br/>
        <w:t xml:space="preserve">Having regard to the notification file sent to the mergers department on July 26, 2022, declared complete on August 22, 2022, concerning the exclusive control acquisition by the company Holding Famille Trujas of two car dealership businesses, formalized by two transfer promises dated July 13,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Holding Famille Trujas of two businesses operating a car dealership located in Coignières (78) under the Citroën brand and two car dealerships in Trappes (78) under the Citroën, DS, and Opel brands.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22-192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