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https://www.autoritedelaconcurrence.fr/fr/decision-de-controle-des-concentrations/relative-la-prise-de-controle-exclusif-de-deux-fonds-de-24</w:t>
      </w:r>
    </w:p>
    <w:p>
      <w:r>
        <w:t>Pages translated : 2</w:t>
      </w:r>
    </w:p>
    <w:p/>
    <w:p>
      <w:r>
        <w:rPr>
          <w:b/>
        </w:rPr>
        <w:t>[Pages 1–2]</w:t>
      </w:r>
    </w:p>
    <w:p>
      <w:r>
        <w:t xml:space="preserve">FRENCH REPUBLIC  </w:t>
        <w:br/>
        <w:t xml:space="preserve">Decision No. 23-DCC-52 of March 15, 2023  </w:t>
        <w:br/>
        <w:t xml:space="preserve">regarding the exclusive control acquisition of two business assets under the Super U brand and five business assets under the Monoprix brand by the company Sageau Holding  </w:t>
        <w:br/>
        <w:t xml:space="preserve">The Competition Authority,  </w:t>
        <w:br/>
        <w:t xml:space="preserve">Having regard to the complete notification file sent to the mergers department on February 23, 2023, concerning the exclusive control acquisition of two business assets under the Super U brand and five business assets under the Monoprix brand by the company Sageau Holding, formalized by a letter of intent dated July 1, 2022, and its amendment dated December 14, 2022;  </w:t>
        <w:br/>
        <w:t xml:space="preserve">Having regard to Book IV of the Commercial Code relating to the freedom of prices and competition, and in particular its Articles L. 430-1 to L. 430-7;  </w:t>
        <w:br/>
        <w:t xml:space="preserve">Having regard to the additional elements transmitted by the notifying party during the investigation;  </w:t>
        <w:br/>
        <w:t xml:space="preserve">Adopts the following decision:  </w:t>
        <w:br/>
        <w:t xml:space="preserve">1. The notified operation consists of the exclusive control acquisition, by the company Sageau Holding, of two business assets under the Super U brand and five business assets under the Monoprix brand, directly or via the exclusive control of the operating companies Commerces Multiples de Savigny-sur-Orge, Multi Sceaux, Commerces Multiples d’Alfortville, Commerces Multiples d’Ile de France, and Commerces Multiples de Montrouge. The business assets under the Super U brand are located in Savigny-sur-Orge (91) and Plessis-Robinson (92) with respective areas of 1,377 m² and 1,561 m². The business assets under the Monoprix brand are located in Antony (92), Montrouge (92), Sceaux (92), Pavillons-sous-Bois (93), and Alfortville (94) with respective areas of 2,589 m², 1,453 m², 2,363 m², 1,780 m², and 2,092 m². The operation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23-035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