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https://www.autoritedelaconcurrence.fr/fr/decision-de-controle-des-concentrations/relative-la-prise-de-controle-exclusif-de-deux-fonds-de-26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24-DCC-89 of May 10, 2024</w:t>
        <w:br/>
        <w:t>regarding the exclusive acquisition of control over two business assets of the</w:t>
        <w:br/>
        <w:t>company First Automobiles by the company JPC Évolution</w:t>
        <w:br/>
        <w:t>The Competition Authority,</w:t>
        <w:br/>
        <w:t>Having regard to the complete notification file submitted to the mergers department on April 22, 2024,</w:t>
        <w:br/>
        <w:t>concerning the exclusive acquisition of control over two business assets of the company First Automobiles</w:t>
        <w:br/>
        <w:t>by the company JPC Évolution, formalized by a letter of intent dated March 21, 2024;</w:t>
        <w:br/>
        <w:t>Having regard to Book IV of the Commercial Code relating to freedom of prices and competition, and</w:t>
        <w:br/>
        <w:t>notably its Articles L. 430-1 to L. 430-7;</w:t>
        <w:br/>
        <w:t>Adopts the following decision:</w:t>
        <w:br/>
        <w:t>1. The notified operation consists of the exclusive acquisition of control by the company JPC Évolution of</w:t>
        <w:br/>
        <w:t>two business assets in automobile distribution held by the company First Automobiles and</w:t>
        <w:br/>
        <w:t>located in Roncq (59) and Villeneuve d’Ascq (59). The operation constitutes a concentration within the meaning</w:t>
        <w:br/>
        <w:t>of Article L. 430-1 of the Commercial Code. Given the turnover generated by the</w:t>
        <w:br/>
        <w:t>concerned companies, the operation does not fall under the jurisdiction of the European Union. However, the control thresholds related to retail trade mentioned in II of Article</w:t>
        <w:br/>
        <w:t>L. 430-2 of the Commercial Code are exceeded. The present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24-083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