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https://www.autoritedelaconcurrence.fr/fr/decision-de-controle-des-concentrations/relative-la-prise-de-controle-exclusif-de-deux-fonds-de-27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24-DCC-125 of June 13, 2024  </w:t>
        <w:br/>
        <w:t xml:space="preserve">regarding the exclusive acquisition of two business assets  </w:t>
        <w:br/>
        <w:t xml:space="preserve">belonging to the company FLB Automobiles by the company Renault  </w:t>
        <w:br/>
        <w:t>Retail Group</w:t>
      </w:r>
    </w:p>
    <w:p>
      <w:r>
        <w:t>The Competition Authority,</w:t>
      </w:r>
    </w:p>
    <w:p>
      <w:r>
        <w:t xml:space="preserve">Having regard to the complete notification file submitted to the mergers department on May 24, 2024,  </w:t>
        <w:br/>
        <w:t xml:space="preserve">concerning the exclusive acquisition of two automotive business assets belonging to the  </w:t>
        <w:br/>
        <w:t xml:space="preserve">company FLB Automobiles by the company Renault Retail Group (hereinafter "RRG"),  </w:t>
        <w:br/>
        <w:t>formalized by a letter of intent signed on April 24,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acquisition by the RRG group of two  </w:t>
        <w:br/>
        <w:t xml:space="preserve">automotive retail business assets belonging to the company FLB Automobiles located in  </w:t>
        <w:br/>
        <w:t xml:space="preserve">Sainte-Foy-lès-Lyon (69) and Saint-Genis-Laval (69).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retail control thresholds mentioned in point II of Article L. 430-2 of the  </w:t>
        <w:br/>
        <w:t xml:space="preserve">Commercial Code are exceeded. This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24-118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