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https://www.autoritedelaconcurrence.fr/fr/decision-de-controle-des-concentrations/relative-la-prise-de-controle-exclusif-de-deux-fonds-de-29</w:t>
      </w:r>
    </w:p>
    <w:p>
      <w:r>
        <w:t>Pages translated : 7</w:t>
      </w:r>
    </w:p>
    <w:p/>
    <w:p>
      <w:r>
        <w:rPr>
          <w:b/>
        </w:rPr>
        <w:t>[Pages 1–3]</w:t>
      </w:r>
    </w:p>
    <w:p>
      <w:r>
        <w:t>FRENCH REPUBLIC</w:t>
        <w:br/>
        <w:t>Decision No. 25-DCC-62 of March 17, 2025</w:t>
        <w:br/>
        <w:t>regarding the exclusive control of two businesses of the Casino group by the Carrefour group</w:t>
        <w:br/>
        <w:t>The Competition Authority,</w:t>
        <w:br/>
        <w:t>Having regard to the notification file submitted in full to the concentrations service on February 21, 2025, regarding the exclusive control of two businesses operated under the Casino Supermarket brand by Carrefour France, formalized by a memorandum of understanding dated December 30, 2024, and a conditional transfer deed of the business on February 7, 2024;</w:t>
        <w:br/>
        <w:t>Having regard to the referral decision M.11881 of the European Commission dated February 21, 2025, made pursuant to Article 4, paragraph 4 of Regulation (EC) No. 139/2004 of the Council of January 20, 2004, concerning the control of concentrations between undertakings;</w:t>
        <w:br/>
        <w:t>Having regard to Book IV of the Commercial Code relating to the freedom of prices and competition, and in particular Articles L. 430-1 to L. 430-7;</w:t>
        <w:br/>
        <w:t>Having regard to the additional elements submitted by the notifying party during the investigation;</w:t>
        <w:br/>
        <w:t>Adopts the following decision:</w:t>
      </w:r>
    </w:p>
    <w:p>
      <w:r>
        <w:t>I. The Companies Concerned and the Operation</w:t>
        <w:br/>
        <w:t>1. Carrefour France SAS, a wholly-owned subsidiary of Carrefour SA (hereinafter "Carrefour" or "the acquirer"), is active in the retail distribution sector with a focus on food in France, through the operation of stores in various formats: hypermarkets (under the Carrefour brand), supermarkets (under the Carrefour Market brand), convenience stores (under the Carrefour City, Carrefour Contact, Carrefour Express, Bio c’Bon brands), cash &amp; carry stores (under the Promocash brand), and stores classified as "soft discount" (under the Supeco brand).</w:t>
        <w:br/>
        <w:t>2. The target businesses, located in Messanges (40) and Remiremont (88), are two supermarkets active in the food-focused retail distribution sector in France, exclusively controlled by Distribution Casino France (hereinafter "DCF") and currently operated under the Casino Supermarket brand.</w:t>
        <w:br/>
        <w:t>3. The notified operation consists of the exclusive control acquisition by Carrefour of the target businesses. The acquisition of the Remiremont store is realized through a transfer deed, signed between Carrefour France Proximité and DCF, encompassing all tangible and intangible assets of the business. Regarding the acquisition of the Messanges store, it is operated by DCF under [confidential] signed with Cap Atlantique, [confidential]. After DCF indicated its intention to cease operations at the Messanges store as of [confidential] 2025, Cap Atlantique and Carrefour entered into a memorandum of understanding concerning the operation of the supermarket and the gas station under the "Carrefour Market" brand in the premises of Messanges. This agreement provides for the conclusion of a lease contract for a duration of [confidential] covering all premises previously operated by DCF in Messanges. Carrefour will also acquire from Cap Atlantique the equipment and furniture belonging to the latter that were previously in the premises rented by DCF and used by it for the operation of the business. As a result of the above, in accordance with the applicable rules regarding the assessment of control in competition law1, Carrefour will exclusively control the target store in Messanges previously controlled by DCF.</w:t>
        <w:br/>
        <w:t>4. This project of two acquisitions follows the notification by Carrefour, on February 6, 2024, to the Commission, of a request for total referral to the Authority, based on Article 4, paragraph 4, of the EC Regulation on concentrations2, concerning the exclusive control by Carrefour of 25 points of sale of the Casino group. This request for total referral was accepted by the Authority, and this operation was authorized by it in decision No. 24-DCC-288 of December 13, 2024, subject to the divestiture of two stores3.</w:t>
        <w:br/>
        <w:t>5. However, under paragraph 86 of the Authority's guidelines on concentration controls, which refers to Article 5, paragraph 2, of the EC Regulation on concentrations, successive operations (each resulting in a change of control) carried out over a period of two years between the same companies, or by companies belonging to the same groups, must be treated as a single concentration even if these operations are not conditional upon one another.</w:t>
        <w:br/>
        <w:t>6. Consequently, all the concentration operations between Casino and Carrefour mentioned above, namely the exclusive control acquisitions by Carrefour of the businesses of Remiremont and Messanges and that relating to the acquisition of control of 25 points of sale which led to the decision of the Authority on December 13, 2024, must be considered as a single concentration (hereinafter "the operation").</w:t>
        <w:br/>
        <w:t>7. The operation falls under the competence of the European Union pursuant to Article 1, paragraph 2 of Regulation (EC) No. 139/2004 of the Council on concentrations. Indeed, the companies concerned have achieved a consolidated worldwide turnover of more than 5 billion euros (Carrefour: [≥ 5] billion euros for the fiscal year ending December 31, 2023; the target stores: [≤ 5 billion] euros for the fiscal years ending December 31, 2022, and 20234). Furthermore, each of them has achieved a turnover in the European Union exceeding 250 million euros (Carrefour: [≥ 250 million] euros for the fiscal year ending December 31, 2023; the target stores: [≥ 250] million euros for the fiscal years ending December 31, 2022, and 2023). Finally, only the target stores generated more than two-thirds of their turnover in the European Union in a single Member State, France.</w:t>
        <w:br/>
        <w:t>8. On January 17, 2025, Carrefour requested the European Commission, through a reasoned memorandum, for the total referral of the operation to the Authority, pursuant to Article 4, paragraph 4, of the EC Regulation on concentrations. By decision M.11881 of February 21, 2025, the European Commission considered that the conditions for a referral to the Authority were met. The referral request having been accepted by the Authority, the operation is subject, pursuant to IV of Article L. 430-2 of the Commercial Code, to French concentration control. The notification of the operation was submitted in full to the Authority on February 21, 2025.</w:t>
        <w:br/>
        <w:t>9. It is specified that, within the framework of this decision, the analysis will be limited to the possible effects related to the acquisition of the two businesses of Remiremont and Messanges (hereinafter "the two target stores") insofar as the effects on competition of the acquisition by Carrefour of the aforementioned 25 points of sale have been addressed by the Authority in its decision No. 24-DCC-288 of December 13, 2025.</w:t>
        <w:br/>
        <w:t>4 The turnover of the target stores includes that generated by the 25 points of sale analyzed in decision No. 24-DCC-288 of the Authority as well as that of the two stores in Remiremont and Messanges. The turnover of the 25 points of sale in decision No. 24-DCC-288 pertains to the fiscal year ending December 31, 2022, while that of the stores in Remiremont and Messanges pertains to the fiscal year ending December 31, 2023, it being specified that the Messanges store has only been operated by the Casino group since July 2023.</w:t>
      </w:r>
    </w:p>
    <w:p>
      <w:r>
        <w:rPr>
          <w:b/>
        </w:rPr>
        <w:t>[Pages 4–6]</w:t>
      </w:r>
    </w:p>
    <w:p>
      <w:r>
        <w:t>II. Delimitation of Relevant Markets</w:t>
        <w:br/>
        <w:t>10. The parties are simultaneously present in the upstream markets for the supply of everyday consumer goods (A) and in the downstream markets for the retail distribution of predominantly food products (B).</w:t>
      </w:r>
    </w:p>
    <w:p>
      <w:r>
        <w:t>A. UPSTREAM MARKETS FOR THE SUPPLY OF EVERYDAY CONSUMER GOODS</w:t>
        <w:br/>
        <w:t>1. PRODUCT MARKETS</w:t>
        <w:br/>
        <w:t>11. A consistent decisional practice defines these markets according to the families or groups of products concerned and their distribution channel (large food retail outlets or "GSA", specialized large retail outlets)5. Within the distribution channel intended for GSAs, the Authority has considered a segmentation based on the commercial positioning of the product (supplier or distributor brand)6.</w:t>
        <w:br/>
        <w:t>12. The Authority has also distinguished a market for the supply of organic products distinct from that for the supply of conventional (non-organic) products7.</w:t>
        <w:br/>
        <w:t>13. In this case, the effects of the operation have been analyzed in these markets where the parties are concurrently active as buyers.</w:t>
      </w:r>
    </w:p>
    <w:p>
      <w:r>
        <w:t>2. GEOGRAPHICAL MARKETS</w:t>
        <w:br/>
        <w:t>14. The consistent decisional practice of competition authorities considers that the markets for the supply of everyday consumer goods are of national dimension8.</w:t>
        <w:br/>
        <w:t>15. The effects of the present operation will therefore be analyzed at the national level.</w:t>
      </w:r>
    </w:p>
    <w:p>
      <w:r>
        <w:t>B. DOWNSTREAM MARKETS FOR THE RETAIL DISTRIBUTION OF PREDOMINANTLY FOOD PRODUCTS</w:t>
        <w:br/>
        <w:t>1. PRODUCT MARKETS</w:t>
        <w:br/>
        <w:t>16. In its decisional practice, the Authority distinguishes:</w:t>
        <w:br/>
        <w:t>- a market comprising only hypermarkets, which have a sales area greater than 2,500 m²; and</w:t>
        <w:br/>
        <w:t>- a market comprising supermarkets, which have a sales area between 400 and 2,500 m², and equivalent forms of trade (hypermarkets, maxi-discount stores, and popular stores), excluding small retail outlets (less than 400 m²) and specialized shops9.</w:t>
        <w:br/>
        <w:t>17. When the target store is a hypermarket, both markets presented above are analyzed. The competitive analysis, however, focuses solely on the second market when the target store is a supermarket.</w:t>
        <w:br/>
        <w:t>18. In this case, the two target stores are two supermarkets with a sales area of [1,000-2,000] m² (for the Remiremont store) and [1,000-2,000] m² (for the Messanges store). The analysis will therefore focus solely on the market comprising supermarkets and equivalent forms of trade.</w:t>
      </w:r>
    </w:p>
    <w:p>
      <w:r>
        <w:t>2. GEOGRAPHICAL MARKETS</w:t>
        <w:br/>
        <w:t>19. The Authority has examined the effects of concentrations in the retail distribution sector predominantly focused on food at the local level, corresponding to the catchment area of each store, the extent of which depends on the time or distance of travel for consumers.</w:t>
        <w:br/>
        <w:t>20. Outside Île-de-France, the Authority generally considers that the competitive conditions in the market comprising supermarkets and equivalent forms of trade are assessed within an area where consumer demand meets the supply of supermarkets and equivalent forms of trade located within a 15-minute driving time.</w:t>
        <w:br/>
        <w:t>21. In this case, the analysis will therefore focus on catchment areas of 15 minutes driving time around each of the two target stores.</w:t>
      </w:r>
    </w:p>
    <w:p>
      <w:r>
        <w:t>III. Competitive Analysis</w:t>
        <w:br/>
        <w:t>22. The acquirer and the target stores are simultaneously present in the upstream markets for the supply of everyday consumer products (as buyers) and in the downstream markets for the distribution of predominantly food products.</w:t>
      </w:r>
    </w:p>
    <w:p>
      <w:r>
        <w:t>A. UPSTREAM MARKETS FOR THE SUPPLY OF EVERYDAY CONSUMER GOODS</w:t>
        <w:br/>
        <w:t>23. If Carrefour's market share exceeds 25% in certain upstream markets for the supply of everyday consumer goods, the acquisition of the two target stores results in a marginal increase in purchasing shares given the very limited share that they represent of the overall national demand across all upstream markets in the sector defined by decisional practice.</w:t>
        <w:br/>
        <w:t>24. Consequently, the operation is not likely to harm competition through the creation or strengthening of purchasing power in the upstream markets for the supply of everyday consumer products.</w:t>
      </w:r>
    </w:p>
    <w:p>
      <w:r>
        <w:t>B. DOWNSTREAM MARKETS FOR THE RETAIL DISTRIBUTION OF PREDOMINANTLY FOOD PRODUCTS</w:t>
        <w:br/>
        <w:t>25. The activities of the parties overlap only in the catchment area of the supermarket located in Remiremont.</w:t>
        <w:br/>
        <w:t>26. The target store in Remiremont has a sales area of [1,000-2,000] m². In the catchment area of this store, Carrefour operates a hypermarket with a sales area of [6,000-7,000] m². The combined market share of the parties, expressed in sales area, is estimated at [30-40] %.</w:t>
        <w:br/>
        <w:t>27. The new entity will face competition from several national brands, including Leclerc ([20-30] % via a hypermarket of [5,000-6,000] m²), Système U ([20-30] % via a hypermarket of [2,000-3,000] m² and a supermarket of [2,000-3,000] m²), Aldi ([10-20] %, via three stores) and Lidl ([5-10] % via a supermarket of [1,000-2,000] m²). These four brands are capable of effectively competing with the new entity, particularly given that, for three of them (Leclerc, Aldi, and Lidl), they each operate at least one store located in immediate proximity to the parties' stores.</w:t>
        <w:br/>
        <w:t>28. Consequently, the operation is not likely to harm competition in the catchment area of the target store in Remiremont.</w:t>
      </w:r>
    </w:p>
    <w:p>
      <w:r>
        <w:rPr>
          <w:b/>
        </w:rPr>
        <w:t>[Pages 7–7]</w:t>
      </w:r>
    </w:p>
    <w:p>
      <w:r>
        <w:t>DECISION</w:t>
        <w:br/>
        <w:t>Sole Article: The operation notified under number 25-017 is authorized.</w:t>
        <w:b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