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https://www.autoritedelaconcurrence.fr/fr/decision-de-controle-des-concentrations/relative-la-prise-de-controle-exclusif-de-deux-fonds-de-3</w:t>
      </w:r>
    </w:p>
    <w:p>
      <w:r>
        <w:t>Pages translated : 2</w:t>
      </w:r>
    </w:p>
    <w:p/>
    <w:p>
      <w:r>
        <w:rPr>
          <w:b/>
        </w:rPr>
        <w:t>[Pages 1–2]</w:t>
      </w:r>
    </w:p>
    <w:p>
      <w:r>
        <w:t xml:space="preserve">FRENCH REPUBLIC  </w:t>
        <w:br/>
        <w:t xml:space="preserve">Decision No. 13-DCC-98 of August 7, 2013  </w:t>
        <w:br/>
        <w:t xml:space="preserve">regarding the exclusive control acquisition of two business assets of the  </w:t>
        <w:br/>
        <w:t>company RRG (Renault group) by the company Codiva</w:t>
      </w:r>
    </w:p>
    <w:p>
      <w:r>
        <w:t>The Competition Authority,</w:t>
      </w:r>
    </w:p>
    <w:p>
      <w:r>
        <w:t xml:space="preserve">Having regard to the notification file sent to the mergers department on June 12, 2013, and declared complete on July 17, 2013, concerning the exclusive control acquisition of two automotive business assets operated by the company RRG, a subsidiary of the Renault group, by the company Codiva and formalized by a transfer promise dated July 16, 2013;  </w:t>
        <w:br/>
        <w:t>Having regard to Book IV of the Commercial Code relating to the freedom of prices and competition, and in particular its Articles L. 430-1 to L. 430-7;</w:t>
      </w:r>
    </w:p>
    <w:p>
      <w:r>
        <w:t xml:space="preserve">Adopts the following decision:  </w:t>
        <w:br/>
        <w:t xml:space="preserve">1. The notified operation consists of the exclusive control acquisition of two automotive dealership business assets of the Renault and Dacia brands located in Dijon and Genlis (21) by the company Codiva, which operates, through its subsidiary Beaune Automobile, a dealership of the same brands in Beaune (21). It constitutes a concentration operation within the meaning of Article L. 430-1 of the Commercial Code. Given the turnover achieved by the companies concerned, the operation does not have a community dimension. On the other hand, the control thresholds related to retail trade mentioned in point II of Article L. 430-2 of the Commercial Code are exceeded. The present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13-095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